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824/2015 vom 18. März 2016</w:t>
      </w:r>
    </w:p>
    <w:p>
      <w:r>
        <w:t>Bundesgericht, 2016-03-18, FR</w:t>
      </w:r>
    </w:p>
    <w:p>
      <w:r>
        <w:rPr>
          <w:b/>
        </w:rPr>
        <w:t xml:space="preserve">Quelle: </w:t>
      </w:r>
      <w:r>
        <w:t>https://mcp.opencaselaw.ch/entscheid/bger_5A_824_2015</w:t>
      </w:r>
    </w:p>
    <w:p>
      <w:r>
        <w:t>FR: TF 5A 824/2015 du 18 mars 2016</w:t>
      </w:r>
    </w:p>
    <w:p>
      <w:r>
        <w:t>IT: TF 5A 824/2015 del 18 marzo 2016</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ATF 134 III 540 consid. 1.1) par le tribunal supérieur d'un canton ayant statué sur recours ( art. 75 al. 1 et 2 LTF ). La valeur litigieuse est atteinte ( art. 74 al. 1 let. b LTF ). La poursuivante, qui a succombé devant l'autorité précédente, a qualité pour recourir ( art. 76 al. 1 LTF ).</w:t>
      </w:r>
    </w:p>
    <w:p>
      <w:r>
        <w:rPr>
          <w:b/>
        </w:rPr>
        <w:t>E. 2.1</w:t>
      </w:r>
    </w:p>
    <w:p>
      <w:r>
        <w:t>Aux termes de l' art. 80 al. 1 LP , le créancier qui est au bénéfice d'un jugement exécutoire peut requérir du juge la mainlevée définitive de l'opposition.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citations). Le prononcé de mainlevée ne sortit que des effets de droit des poursuite et ne fonde pas l'exception de chose jugée quant à l'existence de la créance ( ATF 136 III 583 consid. 2.3).</w:t>
      </w:r>
    </w:p>
    <w:p>
      <w:r>
        <w:rPr>
          <w:b/>
        </w:rPr>
        <w:t>E. 2.2</w:t>
      </w:r>
    </w:p>
    <w:p>
      <w:r>
        <w:t>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 ATF 140 III 180 consid. 5.2.1; 124 III 501 consid. 3a, avec les arrêts cités).</w:t>
      </w:r>
    </w:p>
    <w:p>
      <w:r>
        <w:rPr>
          <w:b/>
        </w:rPr>
        <w:t>E. 3</w:t>
      </w:r>
    </w:p>
    <w:p>
      <w:r>
        <w:t>Dans un premier moyen, la recourante dénonce une violation du droit fédéral, en l'occurrence de l' art. 80 LP ; en bref, elle reproche à la cour cantonale d'avoir dénié à l'arrêt du Tribunal fédéral du 4 février 2015 la valeur d'un titre apte à la mainlevée définitive.</w:t>
      </w:r>
    </w:p>
    <w:p>
      <w:r>
        <w:rPr>
          <w:b/>
        </w:rPr>
        <w:t>E. 3.1</w:t>
      </w:r>
    </w:p>
    <w:p>
      <w:r>
        <w:t>La juridiction précédente a considéré que l'arrêt précité du Tribunal fédéral n'avait pas condamné l'intimé à payer une somme d'argent à la recourante, mais s'était borné à réformer l'arrêt de la Cour de justice du 23 mai 2014, en ce sens que les actions principale et reconventionelle ont été entièrement rejetées, au motif que l'intimé avait payé par erreur la somme dont il réclamait le remboursement, son action en répétition de l'indu selon l' art. 63 al. 1 CO étant toutefois prescrite au regard de l' art. 67 al. 1 CO ; en outre, l'intéressé ne pouvait fonder de prétention en restitution sur les art. 41 et 402 al. 1 CO , la prescription n'ayant au demeurant pas été excipée de manière abusive ( art. 2 al. 2 CC ). Par contre, le Tribunal fédéral ne s'est pas prononcé sur les circonstances du versement de la somme opéré le 17 octobre 2014 par la recourante en faveur de l'intimé, question qui ne faisait pas l'objet de la procédure devant lui et dont il ne paraît d'ailleurs pas avoir eu connaissance; il n'a dès lors pas tranché le point, actuellement disputé entre les parties, de savoir si ladite somme a été versée pour acquitter une dette prescrite ou pour exécuter la décision de la Cour de justice. L'arrêt du Tribunal fédéral n'a pas examiné non plus si le paiement de la recourante avait eu lieu sous la contrainte d'une exécution forcée, alors qu'un jugement exécutoire la condamnait à verser une somme d'argent à l'intimé, mais qu'aucune poursuite n'avait encore été ouverte contre elle. En d'autres termes, l'arrêt invoqué comme titre à la mainlevée définitive ne statue pas sur l'éventuelle créance de la recourante à l'égard de l'intimé, qui serait issue du paiement effectué le 17 octobre 2014. Tous ces aspects relèvent du juge du fond, et non du juge de la mainlevée, lequel doit uniquement constater si un jugement exécutoire prouve la qualité de débiteur de l'intimé; or, tel n'est pas le cas.</w:t>
      </w:r>
    </w:p>
    <w:p>
      <w:r>
        <w:rPr>
          <w:b/>
        </w:rPr>
        <w:t>E. 3.2</w:t>
      </w:r>
    </w:p>
    <w:p>
      <w:r>
        <w:t>La décision attaquée ne prête pas le flanc à la critique. Comme l'a constaté la juridiction cantonale, l'arrêt du Tribunal fédéral invoqué comme titre de mainlevée n'emporte aucune condamnation de l'intimé à payer une somme d'argent à la recourante; il ne se prononce pas davantage sur l'existence d'une prétention en remboursement que ferait naître, en faveur de celle-ci, la mise à néant de la décision de la Cour de justice. Le Tribunal fédéral a uniquement jugé que l'action en restitution ouverte par l'intimé ensuite du paiement effectué par erreur était prescrite ( consid. 3 à 8 ), la prescription n'ayant pas été soulevée par la défenderesse ( i.e. recourante) au mépris des règles de la bonne foi ( consid. 9 ); le litige portait ainsi sur le bien-fondé de la prétention de l'intimé à l'égard de la recourante, et non l'inverse. C'est en vain que la recourante se prévaut de l' ATF 127 III 232 - rendu dans l'optique de l'arbitraire ( art. 9 Cst. ), puis confirmé avec une pleine cognition ( ATF 134 III 656 : critique: JEANDIN, Mainlevée sommaire de l'opposition: développements récents et perspectives, in : SJ 131/2009 II p. 278) -, selon lequel la mainlevée définitive peut être prononcée sur la base d'un jugement qui a rejeté une action en libération de dette introduite par le poursuivi lors d'une précédente poursuite relative à la même prétention. En effet, cet arrêt concerne la situation où la créance ayant justifié la mainlevée définitive avait été judiciairement constatée à l'occasion d'une précédente poursuite; autrement dit, le jugement qui valait titre à la mainlevée dans la seconde poursuite se rapportait à la même créance . Or, rien de tel ici, où la réclamation de la recourante n'a donné lieu à aucun prononcé judiciaire. A ce propos, l'autorité cantonale a relevé que l'action en restitution de la recourante pourrait se heurter à l' art. 63 al. 2 CO , aux termes duquel ce qui a été payé notamment pour acquitter une dette prescrite ( i.e. de l'intimé) ne peut être répété. Or, la question de savoir si la condictio indebiti compète à celui qui a payé dans l'ignorance de la prescription est controversée ( cf . parmi d'autres: MERZ, Obligationenrecht, Allgemeiner Teil, in : SPR VI/1, 1984, § 20/IV, avec la doctrine citée); il n'appartient pas au juge de la mainlevée d'en connaître ( cf . supra , consid. 2.2). Il suffit de constater, avec l'autorité précédente, que le Tribunal fédéral ne s'est nullement exprimé sur cette problématique.</w:t>
      </w:r>
    </w:p>
    <w:p>
      <w:r>
        <w:rPr>
          <w:b/>
        </w:rPr>
        <w:t>E. 4.1</w:t>
      </w:r>
    </w:p>
    <w:p>
      <w:r>
        <w:t>Dans un second moyen, la recourante se plaint de déni de justice au sens des « art. 29 à 30 Cst. »; elle reproche aux juges précédents d'avoir appliqué de manière « trop stricte » l' art. 80 al. 1 LP et commis un déni de justice matériel dans son appréciation de différentes pièces du dossier ( i.e. arrêt de la Cour de justice, mise en demeure de l'intimé et arrêt du Tribunal fédéral).</w:t>
      </w:r>
    </w:p>
    <w:p>
      <w:r>
        <w:rPr>
          <w:b/>
        </w:rPr>
        <w:t>E. 4.2</w:t>
      </w:r>
    </w:p>
    <w:p>
      <w:r>
        <w:t>L'octroi de la mainlevée définitive ne dépend pas de l'appréciation du juge, mais bien de l'existence d'un titre idoine; un tel titre fait défaut en l'espèce ( cf . supra , consid. 3.2). La procédure de mainlevée étant précisément formaliste ( ATF 112 III 88 consid. 2c), le reproche adressé à la cour cantonale s'avère dépourvu de fondement. Quoi qu'en dise la recourante, la décision attaquée n'engendre aucun « sentiment d'injustice ». Les magistrats cantonaux ne l'ont aucunement déboutée sur le fond, mais l'ont renvoyée à faire reconnaître ses droits devant le juge ordinaire; aussi, est-il manifestement erroné d'affirmer qu'ils l'auraient placée « dans l'impossibilité de recouvrer ce [qu'elle] a payé ». Pour le surplus, son grief tiré d'un « déni de justice matériel » ne revêt pas de portée propre par rapport au grief pris d'une violation du droit fédéral ( cf . supra , consid. 3), les deux critiques étant fondées sur l'existence d'un titre à la mainlevée définitive, d'autant que le Tribunal fédéral dispose d'une pleine cognition quant à l'application de l' art. 80 al. 1 LP ( art. 95 let . aet 106 al. 1 LTF) et que la décision attaquée ne porte pas sur des mesures provisionnelles ( art. 98 LTF ; ATF 133 III 399 consid. 1.5).</w:t>
      </w:r>
    </w:p>
    <w:p>
      <w:r>
        <w:rPr>
          <w:b/>
        </w:rPr>
        <w:t>E. 5</w:t>
      </w:r>
    </w:p>
    <w:p>
      <w:r>
        <w:t>Manifestement mal fondé, le présent recours doit être rejeté, aux frais de la recourante ( art. 66 al. 1 LTF ). Il se justifie d'allouer à l'intimé des dépens pour ses observations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