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5A_820/2024 vom 12. Dezember 2024</w:t>
      </w:r>
    </w:p>
    <w:p>
      <w:r>
        <w:t>Bundesgericht, 2024-12-12, DE</w:t>
      </w:r>
    </w:p>
    <w:p>
      <w:r>
        <w:rPr>
          <w:b/>
        </w:rPr>
        <w:t xml:space="preserve">Quelle: </w:t>
      </w:r>
      <w:r>
        <w:t>https://mcp.opencaselaw.ch/entscheid/bger_5A_820_2024</w:t>
      </w:r>
    </w:p>
    <w:p>
      <w:r>
        <w:t>FR: TF 5A_820/2024 du 12 décembre 2024</w:t>
      </w:r>
    </w:p>
    <w:p>
      <w:r>
        <w:t>IT: TF 5A_820/2024 del 12 dicembre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Neue Begehren sind vor Bundesgericht unzulässig ( Art. 99 Abs. 2 BGG ). Soweit mehr oder anderes verlangt wird, als von der Vorinstanz beurteilt wurde, kann darauf von vornherein nicht eingetreten werden ( BGE 136 II 457 E. 4.2; 136 V 362 E. 3.4.2 ; 142 I 155 E. 4.4.2).</w:t>
      </w:r>
    </w:p>
    <w:p>
      <w:r>
        <w:rPr>
          <w:b/>
        </w:rPr>
        <w:t>E. 2</w:t>
      </w:r>
    </w:p>
    <w:p>
      <w:r>
        <w:t>Die Beschwerde hat eine Begründung zu enthalten, in welcher in gedrängter Form dargelegt wird, inwiefern der angefochtene Entscheid Recht verletzt ( Art. 42 Abs. 2 BGG ), was eine sachbezogene Auseinandersetzung mit dessen Erwägungen erfordert ( BGE 140 III 115 E. 2; 142 III 364 E. 2.4).</w:t>
      </w:r>
    </w:p>
    <w:p>
      <w:r>
        <w:rPr>
          <w:b/>
        </w:rPr>
        <w:t>E. 3</w:t>
      </w:r>
    </w:p>
    <w:p>
      <w:r>
        <w:t>Die Beschwerdeführerin nimmt keinen konkreten Bezug auf die Erwägungen des angefochtenen Beschlusses, sondern nennt Bibelzitate und behauptet zusammengefasst, dass die Fremdplatzierung der Kinder (gemeint: die Obhutszuteilung an den Vater) auf Lügen basiere und die Kinder in mannigfacher, namentlich in sexueller Hinsicht gefährdet und deshalb unter strengsten Sicherheitsmassnahmen in ihre Obhut zurückzuführen seien.</w:t>
      </w:r>
    </w:p>
    <w:p>
      <w:r>
        <w:rPr>
          <w:b/>
        </w:rPr>
        <w:t>E. 4</w:t>
      </w:r>
    </w:p>
    <w:p>
      <w:r>
        <w:t>Nach dem Gesagten erweist sich die Beschwerde als offensichtlich nicht hinreichend begründet, weshalb auf sie nicht eingetreten werden kann und der Präsident im vereinfachten Verfahren entscheidet ( Art. 108 Abs. 1 lit. b BGG ).</w:t>
      </w:r>
    </w:p>
    <w:p>
      <w:r>
        <w:rPr>
          <w:b/>
        </w:rPr>
        <w:t>E. 5</w:t>
      </w:r>
    </w:p>
    <w:p>
      <w:r>
        <w:t>Angesichts der konkreten Umstände ist auf die Erhebung von Gerichtskosten zu verzichten ( Art. 66 Abs. 1 BGG ). Damit ist das Gesuch um unentgeltliche Rechtspflege gegenstandslos, soweit es sich auf das bundesgerichtlichtliche Verfahren bezieht.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