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820/2019 vom 18. Oktober 2019</w:t>
      </w:r>
    </w:p>
    <w:p>
      <w:r>
        <w:t>Bundesgericht, 2019-10-18, FR</w:t>
      </w:r>
    </w:p>
    <w:p>
      <w:r>
        <w:rPr>
          <w:b/>
        </w:rPr>
        <w:t xml:space="preserve">Quelle: </w:t>
      </w:r>
      <w:r>
        <w:t>https://mcp.opencaselaw.ch/entscheid/bger_5A_820_2019</w:t>
      </w:r>
    </w:p>
    <w:p>
      <w:r>
        <w:t>FR: TF 5A 820/2019 du 18 octobre 2019</w:t>
      </w:r>
    </w:p>
    <w:p>
      <w:r>
        <w:t>IT: TF 5A 820/2019 del 18 ottobre 2019</w:t>
      </w:r>
    </w:p>
    <w:p>
      <w:pPr>
        <w:pStyle w:val="Heading2"/>
      </w:pPr>
      <w:r>
        <w:t>Regeste</w:t>
      </w:r>
    </w:p>
    <w:p>
      <w:r>
        <w:t>garde enfant parents non mariés | Droit de la famille</w:t>
      </w:r>
    </w:p>
    <w:p>
      <w:pPr>
        <w:pStyle w:val="Heading2"/>
      </w:pPr>
      <w:r>
        <w:t>Erwägungen</w:t>
      </w:r>
    </w:p>
    <w:p>
      <w:r>
        <w:rPr>
          <w:b/>
        </w:rPr>
        <w:t>E. 1</w:t>
      </w:r>
    </w:p>
    <w:p>
      <w:r>
        <w:t>Par décision du 13 septembre 2019, la Chambre de surveillance de la Cour de justice du canton de Genève a déclaré recevable le recours formé le 17 juillet 2019 par A.________ à l'encontre de l'ordonnance rendue le 28 février 2019 par le Tribunal de protection de l'adulte et de l'enfant maintenant l'autorité parentale conjointe sur le mineur C.________ (chiffre 1) et attribuant la garde de l'enfant à son père, B.________ (ch. 2), sous réserve d'un droit aux relations personnelles de la mère, A.________ (ch. 3), avec possibilité d'élargissement de ce droit de visite (ch. 4), annulé les chiffres 3 et 4 du dispositif de ladite ordonnance et statuant à nouveau, réservé un droit de visite déjà élargi de la mère sur son fils.</w:t>
      </w:r>
    </w:p>
    <w:p>
      <w:r>
        <w:rPr>
          <w:b/>
        </w:rPr>
        <w:t>E. 2</w:t>
      </w:r>
    </w:p>
    <w:p>
      <w:r>
        <w:t>Par acte du 15 octobre 2019, A.________ exerce un recours en matière civile au Tribunal fédéral, tendant à l'attribution exclusive à elle-même de la garde de l'enfant, sous réserve d'un droit de visite du père. Au préalable, la recourante sollicite principalement la constatation que son recours jouit de l'effet suspensif ex lege , subsidiairement l'octroi de l'effet suspensif à son recours.</w:t>
      </w:r>
    </w:p>
    <w:p>
      <w:r>
        <w:rPr>
          <w:b/>
        </w:rPr>
        <w:t>E. 3</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 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140 III 115 consid. 2, 264 consid. 2.3), doit satisfaire au "principe d'allégation" susmentionné ( art. 106 al. 2 LTF ; ATF 142 II 369 consid. 2.1; 142 III 364 consid. 2.4). Le recourant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3.1</w:t>
      </w:r>
    </w:p>
    <w:p>
      <w:r>
        <w:t>Dans son mémoire, la recourante présente d'abord une partie " En fait " de huit pages comprenant des allégués, suivis d'une offre de preuve. En tant que la recourante s'écarte des constatations retenues dans l'arrêt attaqué, sans soulever un grief d'arbitraire ( art. 9 Cst. ) dans l'établissement des faits, lequel sera au demeurant examiné ci-après, son exposé est d'emblée irrecevable ( art. 106 al. 2 LTF ).</w:t>
      </w:r>
    </w:p>
    <w:p>
      <w:r>
        <w:rPr>
          <w:b/>
        </w:rPr>
        <w:t>E. 3.2</w:t>
      </w:r>
    </w:p>
    <w:p>
      <w:r>
        <w:t>La recourante s'en prend ensuite à l'attribution de la garde de l'enfant C.________ à son père, estimant que les faits à cet égard ont été établis de manière manifestement inexacte. Elle présente des faits qui étaient, selon elle pertinents, et n'ont pas été retenus par la Cour de justice, avec la conséquence d'une attribution erronée de la garde de l'enfant. La recourante entend ce faisant se plaindre d'arbitraire ( art. 9 Cst. ) dans l'établissement des faits et dans l'administration des preuves. Or, elle présente sa propre version des faits et sa propre appréciation des preuves administrées qu'elle tente de substituer aux faits retenus dans l'arrêt attaqué. La critique est purement appellatoire et la simple référence à l'établissement inexact des faits ne répond pas aux exigences minimales de motivation d'un tel grief (cf. supra consid. 3).</w:t>
      </w:r>
    </w:p>
    <w:p>
      <w:r>
        <w:rPr>
          <w:b/>
        </w:rPr>
        <w:t>E. 4</w:t>
      </w:r>
    </w:p>
    <w:p>
      <w:r>
        <w:t>Vu ce qui précède, le présent recours doit être déclaré irrecevable, ce qui rend sans objet la requête de constat, subsidiairement d'octroi d'effet suspensif. Les frais judiciaires, arrêtés à 500 fr., sont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