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5A_818/2025 vom 1. Oktober 2025</w:t>
      </w:r>
    </w:p>
    <w:p>
      <w:r>
        <w:t>Bundesgericht, 2025-10-01, DE</w:t>
      </w:r>
    </w:p>
    <w:p>
      <w:r>
        <w:rPr>
          <w:b/>
        </w:rPr>
        <w:t xml:space="preserve">Quelle: </w:t>
      </w:r>
      <w:r>
        <w:t>https://mcp.opencaselaw.ch/entscheid/bger_5A_818_2025</w:t>
      </w:r>
    </w:p>
    <w:p>
      <w:r>
        <w:t>FR: TF 5A_818/2025 du 1 octobre 2025</w:t>
      </w:r>
    </w:p>
    <w:p>
      <w:r>
        <w:t>IT: TF 5A_818/2025 del 1 ottobre 2025</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 Dabei ist zu beachten, dass die Vorinstanz auf das Rechtsmittel des Beschwerdeführers nicht eingetreten ist und deshalb die Beschwerde an das Bundesgericht grundsätzlich auf die Frage beschränkt bleibt, ob die Vorinstanz zu Recht einen Nichteintretensentscheid gefällt hat ( BGE 135 II 38 E. 1.2; 139 II 233 E. 3.2).</w:t>
      </w:r>
    </w:p>
    <w:p>
      <w:r>
        <w:rPr>
          <w:b/>
        </w:rPr>
        <w:t>E. 2</w:t>
      </w:r>
    </w:p>
    <w:p>
      <w:r>
        <w:t>Der Beschwerdeführer äussert sich nicht zur Frage der unentgeltlichen Rechtspflege bzw. des Nichteintretens auf die diesbezügliche Beschwerde, wenn er eine Neuberechnung des Kindesunterhalts verlangt, welche ausserhalb des möglichen Anfechtungsgegenstandes steht.</w:t>
      </w:r>
    </w:p>
    <w:p>
      <w:r>
        <w:t>Was diesen anbelangt, legt der Beschwerdeführer weder eine willkürliche Sachverhaltsfeststellung dar noch zeigt er auf, inwiefern die Nichteintretenserwägungen des angefochtenen Entscheides Recht verletzen sollen, wenn er sich auf die Aussage beschränkt, bei der Höhe der Unterhaltsfestsetzung sei sein Einkommen falsch festgestellt und seine Lebenssituation (Jobverlust, gesundheitliche Einschränkungen, zusätzliche finanzielle Verpflichtungen) sowie das zweite Kind nicht berücksichtigt worden, zumal angebliche seinerzeitige Fehler bei der Unterhaltsfestsetzung mit einem Rechtsmittel gegen den Unterhaltsentscheid zu rügen gewesen wären und sie keinen Abänderungsgrund bilden würden, weshalb es auch nicht gegen Recht verstossen kann, wenn für die Abänderungsklage keine unentgeltliche Rechtspflege erteilt wurde, umso weniger als diese auch angesichts der fehlenden Einreichung von Unterlagen als offenkundig aussichtslos zu bezeichnen war.</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