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817/2024 vom 6. Dezember 2024</w:t>
      </w:r>
    </w:p>
    <w:p>
      <w:r>
        <w:t>Bundesgericht, 2024-12-06, DE</w:t>
      </w:r>
    </w:p>
    <w:p>
      <w:r>
        <w:rPr>
          <w:b/>
        </w:rPr>
        <w:t xml:space="preserve">Quelle: </w:t>
      </w:r>
      <w:r>
        <w:t>https://mcp.opencaselaw.ch/entscheid/bger_5A_817_2024</w:t>
      </w:r>
    </w:p>
    <w:p>
      <w:r>
        <w:t>FR: TF 5A 817/2024 du 6 décembre 2024</w:t>
      </w:r>
    </w:p>
    <w:p>
      <w:r>
        <w:t>IT: TF 5A 817/2024 del 6 dicembre 2024</w:t>
      </w:r>
    </w:p>
    <w:p>
      <w:pPr>
        <w:pStyle w:val="Heading2"/>
      </w:pPr>
      <w:r>
        <w:t>Regeste</w:t>
      </w:r>
    </w:p>
    <w:p>
      <w:r>
        <w:t>Nachlassstundung, Konkurseröffnung | Schuldbetreibungs- und Konkursrecht</w:t>
      </w:r>
    </w:p>
    <w:p>
      <w:pPr>
        <w:pStyle w:val="Heading2"/>
      </w:pPr>
      <w:r>
        <w:t>Erwägungen</w:t>
      </w:r>
    </w:p>
    <w:p>
      <w:r>
        <w:rPr>
          <w:b/>
        </w:rPr>
        <w:t>E. 1</w:t>
      </w:r>
    </w:p>
    <w:p>
      <w:r>
        <w:t>Gegen den angefochtenen Entscheid steht die Beschwerde in Zivilsachen zur Verfügung ( Art. 72 Abs. 2 lit. a, Art. 74 Abs. 2 lit. d, Art. 75 Abs. 1 und Art. 90 BGG ).</w:t>
      </w:r>
    </w:p>
    <w:p>
      <w:r>
        <w:rPr>
          <w:b/>
        </w:rPr>
        <w:t>E. 2</w:t>
      </w:r>
    </w:p>
    <w:p>
      <w:r>
        <w:t>Der von der Vorinstanz festgestellte Sachverhalt ist für das Bundesgericht grundsätzlich verbindlich ( Art. 105 Abs. 1 BGG ). Diesbezüglich können nur Verfassungsrügen erhoben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Sodann ist in der Beschwerde ein Rechtsbegehren in der Sache zu stellen ( Art. 42 Abs. 1 BGG ).</w:t>
      </w:r>
    </w:p>
    <w:p>
      <w:r>
        <w:rPr>
          <w:b/>
        </w:rPr>
        <w:t>E. 3</w:t>
      </w:r>
    </w:p>
    <w:p>
      <w:r>
        <w:t>Die Beschwerde scheitert bereits an einem hinreichenden Rechtsbegehren, sodann aber auch an einer hinreichenden Begründung. Die Beschwerdeführer schildern ihre Sicht der Dinge, indem sie den Sachwalter und dessen Verhalten bzw. Handlungen kritisieren und vorbringen, ein Gläubiger wäre für den Fall der Genehmigung eines Nachlassvertrages gewillt gewesen, eine hohe Summe einzubringen. Abgesehen davon, dass dies nicht Beschwerdethema ist, werden die Ausführungen von der Sache her in appellatorischer und damit ohnehin unzulässiger Weise vorgetragen. In rechtlicher Hinsicht erfolgt keine sachgerichtete Auseinandersetzung mit der Erwägung im angefochtenen Entscheid, wonach die Beschwerdeführer nicht zum Stellen eines Verlängerungsantrages legitimiert sind, sondern die Berechtigung nach dem ausdrücklichen Gesetzeswortlaut von Art. 295b Abs. 1 SchKG beim Sachwalter liegt und wonach ein fehlender Antrag auf Verlängerung die gleichen Wirkungen wie der Widerruf der Nachlassstundung hat und der Konkurs zu eröffnen ist ( BGE 150 III 137 E. 3), was vorliegend der Fall war, nachdem die Bedingung für die Verlängerung nicht eingetreten und andernfalls die Konkurseröffnung verlangt worden war.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