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5A_817/2022 vom 25. Oktober 2022</w:t>
      </w:r>
    </w:p>
    <w:p>
      <w:r>
        <w:t>Bundesgericht, 2022-10-25, DE</w:t>
      </w:r>
    </w:p>
    <w:p>
      <w:r>
        <w:rPr>
          <w:b/>
        </w:rPr>
        <w:t xml:space="preserve">Quelle: </w:t>
      </w:r>
      <w:r>
        <w:t>https://mcp.opencaselaw.ch/entscheid/bger_5A_817_2022</w:t>
      </w:r>
    </w:p>
    <w:p>
      <w:r>
        <w:t>FR: TF 5A_817/2022 du 25 octobre 2022</w:t>
      </w:r>
    </w:p>
    <w:p>
      <w:r>
        <w:t>IT: TF 5A_817/2022 del 25 ottobre 2022</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Im angefochtenen Entscheid werden der Schwächezustand sowie das selbst- und fremdgefährdende Verhalten, die Erforderlichkeit der Unterbringung und die Eignung der Klinik unter Bezugnahme auf das erstellte Gutachten behandelt. Damit setzt sich die Beschwerdeführerin nicht konkret auseinander, sondern sie hält in allgemeiner Weise fest, die Fehldiagnosen seien für sie unhaltbar und es würden immer nur alte Daten übernommen, weshalb sie eine genauere Analyse ihres Krankheitsfalles wünsche. Indes stützte sich das Kantonsgericht auf das am 22. September 2022 erstattete Gutachten, in welchem eine paranoide Schizophrenie diagnostiziert wurde, sowie auf den Bericht der Klinik U.________, in welchem eine (gegenwärtig manische) schizoaffektive Störung festgestellt wurde, und es führte auch eine mündliche Verhandlung durch.</w:t>
      </w:r>
    </w:p>
    <w:p>
      <w:r>
        <w:t>Wenn die Beschwerdeführerin sodann festhält, sie erhalte immer wieder willkürlich Medikamente, ohne dass ihre Meinung gefragt werde, beschlägt dies nicht den Anfechtungsgegenstand (fürsorgerische Unterbringung). Es sei jedoch festgehalten, dass eine eigentliche Zwangsmedikation - ob eine solche vorliegt, lässt sich anhand der Akten nicht beurteilen - von der Klinikleitung mit anfechtbarer Verfügung anzuordnen wäre (vgl. Art. 434 ZGB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