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817/2020 vom 28. Januar 2021</w:t>
      </w:r>
    </w:p>
    <w:p>
      <w:r>
        <w:t>Bundesgericht, 2021-01-28, FR</w:t>
      </w:r>
    </w:p>
    <w:p>
      <w:r>
        <w:rPr>
          <w:b/>
        </w:rPr>
        <w:t xml:space="preserve">Quelle: </w:t>
      </w:r>
      <w:r>
        <w:t>https://mcp.opencaselaw.ch/entscheid/bger_5A_817_2020</w:t>
      </w:r>
    </w:p>
    <w:p>
      <w:r>
        <w:t>FR: TF 5A 817/2020 du 28 janvier 2021</w:t>
      </w:r>
    </w:p>
    <w:p>
      <w:r>
        <w:t>IT: TF 5A 817/2020 del 28 gennaio 2021</w:t>
      </w:r>
    </w:p>
    <w:p>
      <w:pPr>
        <w:pStyle w:val="Heading2"/>
      </w:pPr>
      <w:r>
        <w:t>Regeste</w:t>
      </w:r>
    </w:p>
    <w:p>
      <w:r>
        <w:t>notification d'un acte de poursuite, validité | Droit des poursuites et faillites</w:t>
      </w:r>
    </w:p>
    <w:p>
      <w:pPr>
        <w:pStyle w:val="Heading2"/>
      </w:pPr>
      <w:r>
        <w:t>Erwägungen</w:t>
      </w:r>
    </w:p>
    <w:p>
      <w:r>
        <w:rPr>
          <w:b/>
        </w:rPr>
        <w:t>E. 1.1</w:t>
      </w:r>
    </w:p>
    <w:p>
      <w:r>
        <w:t>Le recours a été déposé dans le délai légal ( art. 100 al. 2 let. a LTF ) à l'encontre d'une décision finale ( art. 90 LTF ) rendue en matière de poursuite pour dettes ( art. 72 al. 2 let. a LTF en relation avec l' art. 19 LP ) par une autorité de surveillance statuant en dernière (unique) instance cantonale ( art. 75 al. 1 et 2 LTF ); il est ouvert indépendamment de la valeur litigieuse ( art. 74 al. 2 let . c LTF). La recourante a qualité pour recourir ( art. 76 al. 1 LTF ).</w:t>
      </w:r>
    </w:p>
    <w:p>
      <w:r>
        <w:rPr>
          <w:b/>
        </w:rPr>
        <w:t>E. 1.2</w:t>
      </w:r>
    </w:p>
    <w:p>
      <w:r>
        <w:t>Le recours en matière civile étant une voie de réforme ( art. 107 al. 2 LTF ), la partie recourante doit, sous peine d'irrecevabilité, prendre des conclusions sur le fond du litige ( ATF 137 II 313 consid. 1.3; 134 III 379 consid. 1.3; 133 III 489 consid. 3.1). Les conclusions réformatoires doivent en outre être déterminées et précises, c'est-à-dire indiquer exactement quelles modifications sont demandées (parmi plusieurs: arrêt 5A_171/2020 du 20 mai 2020 consid. 1.2 et les références). Cette règle souffre quelques exceptions. Parmi celles-ci, la pratique réserve le cas où la motivation du recours fait clairement apparaître en quoi l'arrêt attaqué doit être modifié (parmi plusieurs: arrêt 4A_297/2017 du 30 avril 2018 consid. 1.2 et les références). En l'occurrence, la recourante se limite à conclure sur le fond, sans autre précision, à l'admission de sa plainte. Il ne fait cependant aucun doute que son recours tend au constat de la nullité, subsidiairement à l'annulation, des notifications intervenues les 14 novembre et 12 décembre 2019 Le défaut de conclusions réformatoires précises ne fait donc pas obstacle à la recevabilité du recours.</w:t>
      </w:r>
    </w:p>
    <w:p>
      <w:r>
        <w:rPr>
          <w:b/>
        </w:rPr>
        <w:t>E. 2.1</w:t>
      </w:r>
    </w:p>
    <w:p>
      <w:r>
        <w:t>Le recours en matière civile peut être formé pour violation du droit, tel qu'il est délimité par les art. 95 et 96 LTF . Le Tribunal fédéral applique le droit d'office ( art. 106 al. 1 LTF ), sans être lié ni par les motifs de la juridiction précédente, ni par les moyens des parties; en conséquence, il peut admettre le recours en se fondant sur d'autres arguments que ceux qu'a invoqués la partie recourante, comme il peut le rejeter en opérant une substitution de motifs ( ATF 144 III 462 consid. 3.2.3 et les références).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 134 III 102 consid. 1.1). Le recourant doit discuter les motifs de la décision entreprise et indiquer précisément en quoi il estime que l'autorité précédente a méconnu le droit ( art. 42 al. 2 LTF ; ATF 140 III 86 consid. 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w:t>
      </w:r>
    </w:p>
    <w:p>
      <w:r>
        <w:rPr>
          <w:b/>
        </w:rPr>
        <w:t>E. 3</w:t>
      </w:r>
    </w:p>
    <w:p>
      <w:r>
        <w:t>Quant à la recevabilité de la plainte, la chambre de surveillance a considéré qu'en déposant son acte le 7 février 2020, la plaignante avait agi dans le délai de dix jours suivant la prise de connaissance des mesures contestées, le 30 janvier 2020. Au fond, la chambre de surveillance a tout d'abord établi que les actes litigieux - le commandement de payer et la commination de faillite - notifiés l'un le 14 novembre et l'autre le 12 décembre 2019 l'avaient été au domicile de la plaignante, en son absence, en mains de E.D.________. Ensuite, elle a jugé que le déroulement formel de la notification avait respecté la loi. Enfin, elle a retenu qu'il existait un lien de subordination entre E.D.________ et la plaignante, de la même manière qu'il en existait un entre cette dernière et D.D.________, lui aussi formellement employé par B.B.________ mais appelé, lorsque la plaignante le lui demandait, à l'assister pour certaines tâches ménagères. La chambre de surveillance a jugé sur base de ces éléments que E.D.________ revêtait par rapport à la plaignante la qualité d'employée au sens de l' art. 64 al. 1 LP . En conséquence, les actes de poursuite litigieux pouvaient valablement être notifiés à la seconde en mains de la première et la plainte devait être rejetée.</w:t>
      </w:r>
    </w:p>
    <w:p>
      <w:r>
        <w:rPr>
          <w:b/>
        </w:rPr>
        <w:t>E. 4</w:t>
      </w:r>
    </w:p>
    <w:p>
      <w:r>
        <w:t>La recourante se plaint, entre autres griefs, de la violation de l' art. 64 al. 1 LP , en tant que la notification d'un acte de poursuite à un employé ne peut se faire que sur le lieu où le poursuivi exerce habituellement sa profession. Il convient de traiter cette question avant toute autre, en tant qu'elle permet de clore le litige à elle seule. A cet égard, l'intimée soutient que l'employé de maison du débiteur est autorisé à recevoir des actes de poursuite à condition qu'il exerce son activité au sein de la communauté domestique du débiteur. La chambre de surveillance précise pour sa part que la recourante a allégué elle-même dans sa plainte du 7 février 2020 que la notification des actes de poursuite litigieux était intervenue en mains de E.D.________.</w:t>
      </w:r>
    </w:p>
    <w:p>
      <w:r>
        <w:rPr>
          <w:b/>
        </w:rPr>
        <w:t>E. 4.1</w:t>
      </w:r>
    </w:p>
    <w:p>
      <w:r>
        <w:t>Aux termes de l' art. 64 al. 1 LP , les actes de poursuite sont notifiés au débiteur dans sa demeure ou à l'endroit où il exerce habituellement sa profession. S'il est absent, l'acte peut être remis à une personne adulte de son ménage ou à un employé.</w:t>
      </w:r>
    </w:p>
    <w:p>
      <w:r>
        <w:rPr>
          <w:b/>
        </w:rPr>
        <w:t>E. 4.1.1</w:t>
      </w:r>
    </w:p>
    <w:p>
      <w:r>
        <w:t>Il n'y a pas de hiérarchie entre les deux lieux de notification et le débiteur n'a aucun droit d'exiger qu'un lieu soit privilégié par rapport à l'autre ( ATF 91 III 41 consid. 3; arrêt 5A_87/2018 du 21 septembre 2018 consid. 2.3, publié in BlSchK 2019 p. 89). Le but de la norme est d'atteindre personnellement le débiteur par tous les moyens pour garantir la remise effective de l'acte de poursuite. D'ailleurs, la liste des lieux n'est pas exhaustive, la notification à l'office étant notamment possible ( ATF 136 III 155 consid. 3.1). Quant aux tiers mentionnés, le législateur a considéré qu'il s'agit de ceux qui se trouvent objectivement dans une relation suffisamment étroite avec le débiteur pour que l'on puisse présumer qu'ils lui remettront l'acte (JEANNERET/LEMBO, in Commentaire romand, Poursuite et faillite, 2005, n° 22 ad art. 64 LP ).</w:t>
      </w:r>
    </w:p>
    <w:p>
      <w:r>
        <w:rPr>
          <w:b/>
        </w:rPr>
        <w:t>E. 4.1.2</w:t>
      </w:r>
    </w:p>
    <w:p>
      <w:r>
        <w:t>Plus précisément, s'agissant des employés, le Tribunal fédéral a jugé qu'entre dans cette catégorie toute personne qui collabore avec le poursuivi dans l'exercice de sa profession en qualité de subordonné. Peu importe en revanche le type de salarié dont il s'agit, de la durée déterminée ou indéterminée de son engagement; il peut même s'agir d'une personne qui se charge bénévolement d'assurer le service de bureau du débiteur pendant ses vacances ( ATF 72 III 78 [80]; 61 III 157 consid. 2; cf. aussi: ANGST, in Basler Kommentar, SchKG I, 2ème éd., 2010, n° 20 ad art. 64 LP ; JEANNERET/LEMBO, op. cit. , n° 25 ad art. 64 LP ; PENON/WOHLGEMUTH, in SK Kommentar SchKG, 4ème éd., 2017, n° 13 ad art. 64 LP ). S'agissant des personnes habilitées à recevoir l'acte en lieu et place du destinataire lui-même lorsque la signification est faite au domicile de l'intéressé, le Tribunal fédéral a par ailleurs précisé que celle-ci peut se faire à toute personne qui fait ménage commun avec le destinataire, sans égard au fait qu'elle soit liée ou non à lui par un rapport de parenté. La signification à un employé de maison est ainsi valable, mais une réelle cohabitation est cependant nécessaire. La remise de l'acte à une personne qui se trouve occasionnellement dans les locaux n'est pas possible (arrêt 5P.18/2006 du 3 mai 2006 consid. 3.2). La doctrine va dans le même sens: certains affirment que les actes de poursuite peuvent être notifiés aux employés du poursuivi seulement au lieu où le débiteur exerce son activité professionnelle (GILLIÉRON, Commentaire de la loi fédérale sur la poursuite pour dettes et la faillite, Art. 1-88, 1999, n° 28 ad art. 64 LP ; JAQUES, De la notification des actes de poursuite, in BlSchK 2011 p. 177 ss [184]); d'autres précisent que si l'employé - comme un employé de maison - exerce son activité au sein de la communauté domestique du débiteur, les deux hypothèses de l'art. 64 al. 1 in fine LP (personne faisant partie du ménage et employé) se superposent (JEANNERET/LEMBO, op. cit. , n° 25 ad art. 64 LP ; PENON/WOHLGEMUTH, op. cit., n° 13 ad art. 64 LP ). Il résulte de ce qui précède que, si la notification à un employé de maison au domicile du débiteur est possible, il faut toutefois que cet employé fasse ménage commun avec lui à ce domicile. Cette règle se justifie eu égard au caractère hétéroclite des contrats relatifs à ce type d'emploi, tant au niveau de leurs modalités que de leurs parties.</w:t>
      </w:r>
    </w:p>
    <w:p>
      <w:r>
        <w:rPr>
          <w:b/>
        </w:rPr>
        <w:t>E. 4.2</w:t>
      </w:r>
    </w:p>
    <w:p>
      <w:r>
        <w:t>En l'espèce, il ne ressort pas de la décision attaquée qu'il aurait été allégué, et encore moins établi, que E.D.________ forme une communauté domestique avec la recourante, ni que le domicile de celle-ci se confond avec son lieu de travail. En conséquence, la notification à cette employée de maison, à supposer même qu'on puisse considérer qu'un tel lien la lie à la recourante, et pas seulement à l'époux de celle-ci, viole l' art. 64 al. 1 LP . Le grief est donc admis, de sorte que les autres deviennent sans objet.</w:t>
      </w:r>
    </w:p>
    <w:p>
      <w:r>
        <w:rPr>
          <w:b/>
        </w:rPr>
        <w:t>E. 5</w:t>
      </w:r>
    </w:p>
    <w:p>
      <w:r>
        <w:t>Il reste à examiner les conséquences de la notification viciée.</w:t>
      </w:r>
    </w:p>
    <w:p>
      <w:r>
        <w:rPr>
          <w:b/>
        </w:rPr>
        <w:t>E. 5.1</w:t>
      </w:r>
    </w:p>
    <w:p>
      <w:r>
        <w:t>La notification irrégulière des actes de poursuite n'est pas frappée de nullité absolue; l'acte est simplement annulable dans le délai de plainte de 10 jours de l' art. 17 al. 2 LP ( ATF 136 III 571 consid. 6.1). Ce n'est que si l'acte n'est pas parvenu en mains du poursuivi que la poursuite est absolument nulle, et que sa nullité peut et doit être constatée en tout temps. Si, malgré le vice de la notification, le commandement de payer est néanmoins parvenu en mains du poursuivi, il produit ses effets dès que celui-ci en a eu connaissance; dans un tel cas, le délai pour porter plainte (contre la notification), ou pour former opposition, commence à courir du moment où le poursuivi a eu effectivement connaissance de l'acte ( ATF 128 III 101 consid. 2; 465 consid. 1; 120 III 114 consid. 3b; 112 III 81 consid. 2b; 110 III 9 consid. 2; arrêt 5A_403/2017 du 11 septembre 2018 consid. 6.3.2.2 et les autres références).</w:t>
      </w:r>
    </w:p>
    <w:p>
      <w:r>
        <w:rPr>
          <w:b/>
        </w:rPr>
        <w:t>E. 5.2</w:t>
      </w:r>
    </w:p>
    <w:p>
      <w:r>
        <w:t>En l'espèce, la chambre de surveillance a constaté que la recourante avait eu connaissance des mesures contestées le 30 janvier 2020 et que sa plainte avait été déposée en temps utile, soit dans les dix jours suivant cette prise de connaissance. La recourante n'est donc pas forclose à solliciter l'annulation des notifications viciées et il peut être donné suite à cette requête.</w:t>
      </w:r>
    </w:p>
    <w:p>
      <w:r>
        <w:rPr>
          <w:b/>
        </w:rPr>
        <w:t>E. 6</w:t>
      </w:r>
    </w:p>
    <w:p>
      <w:r>
        <w:t>En définitive, le recours est admis. L'arrêt attaqué est réformé, en ce sens que la plainte formée le 7 février 2020 par la recourante est admise et que les notifications intervenues les 14 novembre et 12 décembre 2019 sont annulées. La procédure de plainte étant gratuite, il n'y a pas lieu de renvoyer la cause à la chambre de surveillance sur la question des frais judiciaires et des dépens de la procédure qui s'est déroulée devant elle. Les frais judiciaires de la procédure fédérale, arrêtés à 1'500 fr., sont mis à la charge de l'intimée qui succombe ( art. 66 al. 1 LTF ), le canton de Genève, par l'office des poursuites, en étant exempté ( art. 66 al. 4 LTF ). L'intimée et le canton de Genève sont condamnés solidairement à verser à la recourante une indemnité de dépens de 2'000 fr. pour la procédure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