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817/2011 vom 23. Januar 2012</w:t>
      </w:r>
    </w:p>
    <w:p>
      <w:r>
        <w:t>Bundesgericht, 2012-01-23, DE</w:t>
      </w:r>
    </w:p>
    <w:p>
      <w:r>
        <w:rPr>
          <w:b/>
        </w:rPr>
        <w:t xml:space="preserve">Quelle: </w:t>
      </w:r>
      <w:r>
        <w:t>https://mcp.opencaselaw.ch/entscheid/bger_5A_817_2011</w:t>
      </w:r>
    </w:p>
    <w:p>
      <w:r>
        <w:t>FR: TF 5A 817/2011 du 23 janvier 2012</w:t>
      </w:r>
    </w:p>
    <w:p>
      <w:r>
        <w:t>IT: TF 5A 817/2011 del 23 gennaio 2012</w:t>
      </w:r>
    </w:p>
    <w:p>
      <w:pPr>
        <w:pStyle w:val="Heading2"/>
      </w:pPr>
      <w:r>
        <w:t>Regeste</w:t>
      </w:r>
    </w:p>
    <w:p>
      <w:r>
        <w:t>partieller Erbteilungsvertrag | Familienrecht</w:t>
      </w:r>
    </w:p>
    <w:p>
      <w:pPr>
        <w:pStyle w:val="Heading2"/>
      </w:pPr>
      <w:r>
        <w:t>Erwägungen</w:t>
      </w:r>
    </w:p>
    <w:p>
      <w:r>
        <w:rPr>
          <w:b/>
        </w:rPr>
        <w:t>E. 1</w:t>
      </w:r>
    </w:p>
    <w:p>
      <w:r>
        <w:t>Der Beschwerde in Zivilsachen unterliegen unter anderem Entscheide über die Entmündigung und die Errichtung einer Beirat- oder Beistandschaft (Art. 72 Abs. 2 lit. b Ziff. 5 BGG). Dasselbe gilt für Entscheide, die im Rahmen einer bereits angeordneten vormundschaftlichen Massnahme ergehen (Urteil 5A_193/2009 vom 24. April 2009 E. 1.1). Die Beschwerde, die eine Zustimmung bzw. Nichtzustimmung der Vormundschaftsbehörde (gemäss Art. 419 Abs. 2 ZGB ) zu einem partiellen Erbteilungsvertrag zum Gegenstand hat, ist demnach grundsätzlich zulässig, zumal das Obergericht als letzte kantonale Instanz einen Endentscheid gefällt hat ( Art. 75 Abs. 1 und Art. 90 BGG ). Ob es sich um eine vermögensrechtliche Streitigkeit handelt oder nicht, kann offen bleiben, da die Streitwertgrenze ohnehin überschritten wäre. Für eine subsidiäre Verfassungsbeschwerde bleibt vorliegend kein Raum ( Art. 113 BGG ).</w:t>
      </w:r>
    </w:p>
    <w:p>
      <w:r>
        <w:rPr>
          <w:b/>
        </w:rPr>
        <w:t>E. 2</w:t>
      </w:r>
    </w:p>
    <w:p>
      <w:r>
        <w:t>Zur Beschwerde in Zivilsachen ist nur berechtigt, wer durch den angefochtenen Entscheid besonders berührt ist und ein schutzwürdiges Interesse an dessen Aufhebung oder Änderung hat ( Art. 76 Abs. 1 lit. b BGG ). Anfechtungsobjekt der vorliegenden Beschwerde ist ein Urteil, in welchem (soweit darauf einzutreten war) eine Berufung abgewiesen wurde, die sich gegen einen Beschluss des Bezirksrates Bülach vom 6. Mai 2010 richtete (s. oben Sachverhalt B), in welchem das vom Beschwerdeführer initiierte Beschwerdeverfahren abgeschrieben wurde, und zwar weil die Vormundschaftsbehörde A.________ im Zuge einer Wiedererwägung auf ihren Genehmigungsentscheid zurückkam und auf das Ersuchen um Genehmigung des partiellen Erbteilungsvertrags - mangels Genehmigungsbedürftigkeit - nicht eintrat (s. oben Sachverhalt A). Im erwähnten Beschwerdeverfahren an den Bezirksrat hatte der Beschwerdeführer beantragt, der vom Beistand eingereichte partielle Erbteilungsvertrag sei nicht zu genehmigen und die Erbteilung "einer die Interessen der Erbberechtigten [...] wahrenden [...] Lösung zuzuführen". Konsequenz des Nichteintretensentscheids der Vormundschaftsbehörde A.________ war, dass - wie vom Beschwerdeführer beantragt - auch keine Genehmigung erfolgte. Den daraus resultierenden Abschreibungsbeschluss des Bezirksrates bestätigte das Obergericht des Kantons Zürich, indem es einerseits die dagegen erhobene Berufung (soweit darauf einzutreten war) abwies (Urteilsdispositivziffer 1), andererseits die Verwaltungsbehörden anwies, "durch geeignete Massnahmen sicherzustellen, dass die Interessen von Y.________ bei der Erbteilung im Nachlass von W.________ nicht verletzt werden" (Urteilsdispositivziffer 2). Vor diesem Hintergrund hätte der Beschwerdeführer aufzeigen müssen, inwiefern noch ein aktuelles Rechtsschutzinteresse besteht. Dazu macht der Beschwerdeführer indes keinerlei Ausführungen und ein Rechtsschutzinteresse ist im Übrigen auch nicht ersichtlich. Auf die Beschwerde kann daher nicht eingetreten werden.</w:t>
      </w:r>
    </w:p>
    <w:p>
      <w:r>
        <w:rPr>
          <w:b/>
        </w:rPr>
        <w:t>E. 3.1</w:t>
      </w:r>
    </w:p>
    <w:p>
      <w:r>
        <w:t>Des Weiteren beantragt der Beschwerdeführer eine öffentliche Urteilsberatung im Sinne von Art. 58 i.V.m. 59 BGG. Einem Beschwerdeführer kommt kein Anspruch auf eine öffentliche Urteilsberatung zu. Im Übrigen erfolgt eine öffentliche Urteilsberatung nur auf Anordnung der Abteilungspräsidentin, auf Antrag eines Richters oder wenn sich keine Einstimmigkeit ergibt; ist, wie vorliegend, keine dieser Voraussetzungen erfüllt, wird auf dem Weg der Aktenzirkulation entschieden ( Art. 58 BGG ).</w:t>
      </w:r>
    </w:p>
    <w:p>
      <w:r>
        <w:rPr>
          <w:b/>
        </w:rPr>
        <w:t>E. 3.2</w:t>
      </w:r>
    </w:p>
    <w:p>
      <w:r>
        <w:t>In Zivil- und Strafsachen sind vor Bundesgericht nur Anwälte zur Vertretung zugelassen, die nach dem Bundesgesetz vom 23. Juni 2000 über die Freizügigkeit der Anwältinnen und Anwälte (Anwaltsgesetz, BGFA; SR 935.61) oder nach einem Staatsvertrag berechtigt sind, Parteien vor schweizerischen Gerichtsbehörden zu vertreten ( Art. 40 Abs. 1 BGG ). Der Vertreter des Beschwerdeführers erfüllt diese Voraussetzung nicht, wie ihm bereits mit Urteil 5A_677/2008 vom 16. Oktober 2008 erläutert wurde. Da der Beschwerdeführer die Beschwerdeschrift allerdings ebenfalls unterzeichnet hat, kann diese vorliegend noch einmal als vom Beschwerdeführer selbst stammend entgegengenommen werden.</w:t>
      </w:r>
    </w:p>
    <w:p>
      <w:r>
        <w:rPr>
          <w:b/>
        </w:rPr>
        <w:t>E. 3.3</w:t>
      </w:r>
    </w:p>
    <w:p>
      <w:r>
        <w:t>Eine Ergänzung der Beschwerde nach Ablauf der gesetzlichen und damit nicht erstreckbaren Beschwerdefrist ist ausgeschlossen ( Art. 47 Abs. 1 BGG ), zumal auch kein Fall von Art. 43 BGG vorliegt. Die Eingabe vom 29. Dezember 2011 des Beschwerdeführers bleibt daher unbeachtlich.</w:t>
      </w:r>
    </w:p>
    <w:p>
      <w:r>
        <w:rPr>
          <w:b/>
        </w:rPr>
        <w:t>E. 4</w:t>
      </w:r>
    </w:p>
    <w:p>
      <w:r>
        <w:t>Bei diesem Verfahrensausgang wird der Beschwerdeführer kostenpflichtig ( Art. 66 Abs. 1 BGG ). Wie den vorstehenden Ausführungen entnommen werden kann, konnte der Beschwerde von Beginn weg kein Erfolg beschieden sein, weshalb es an einer materiellen Voraussetzung für die Gewährung der unentgeltlichen Rechtspflege fehlt ( Art. 64 Abs. 1 BGG ) und das Gesuch entsprechend abzuweisen ist. Der Beschwerdeführer verlangt, dass im Falle der Abweisung der unentgeltlichen Rechtspflege der entsprechende Entscheid vorgängig, also vor dem Endurteil zu erlassen sei. Ein solcher Anspruch steht dem Beschwerdeführer nicht zu (BERNARD CORBOZ, in: Commentaire der la LTF, 2009, N. 67 zu Art. 64 BGG ), und es wurde ihm im Übrigen bereits mit Verfügung vom 28. November 2011 mitgeteilt, dass über sein Gesuch um unentgeltliche Rechtspflege erst später entschieden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