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5A_816/2024 vom 6. Dezember 2024</w:t>
      </w:r>
    </w:p>
    <w:p>
      <w:r>
        <w:t>Bundesgericht, 2024-12-06, DE</w:t>
      </w:r>
    </w:p>
    <w:p>
      <w:r>
        <w:rPr>
          <w:b/>
        </w:rPr>
        <w:t xml:space="preserve">Quelle: </w:t>
      </w:r>
      <w:r>
        <w:t>https://mcp.opencaselaw.ch/entscheid/bger_5A_816_2024</w:t>
      </w:r>
    </w:p>
    <w:p>
      <w:r>
        <w:t>FR: TF 5A_816/2024 du 6 décembre 2024</w:t>
      </w:r>
    </w:p>
    <w:p>
      <w:r>
        <w:t>IT: TF 5A_816/2024 del 6 dicembre 2024</w:t>
      </w:r>
    </w:p>
    <w:p>
      <w:pPr>
        <w:pStyle w:val="Heading2"/>
      </w:pPr>
      <w:r>
        <w:t>Erwägungen</w:t>
      </w:r>
    </w:p>
    <w:p>
      <w:r>
        <w:rPr>
          <w:b/>
        </w:rPr>
        <w:t>E. 1</w:t>
      </w:r>
    </w:p>
    <w:p>
      <w:r>
        <w:t>Gegen den angefochtenen Entscheid steht die Beschwerde in Zivilsachen offen ( Art. 72 Abs. 2 lit. a und Art. 75 Abs. 1 BGG ). Zu beachten ist jedoch, dass die Vorinstanz auf das Rechtsmittel des Beschwerdeführers nicht eingetreten ist. Anfechtungsgegenstand kann deshalb grundsätzlich nur die Frage bilden,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Beschwerdebegründung besteht aus weltverschwörerischen Ausführungen zu Covid-19 bzw. diesbezüglicher Kritik am Bundesrat und wirft einer grösseren Anzahl von (namentlich genannten) Richtern und Gerichtsschreibern diverser Instanzen sowie Staatsanwälten vor, sich nicht bewusst zu sein, dass dies eine geplante Sache und die sog. Impfung eine gentechnisch experimentelle Misshandlung sei und gegen den Nürnberger Kodex verstosse. Eine irgendwie geartete Bezugnahme auf die entscheidtragenden Nichteintretenserwägungen des angefochtenen Entscheides ist nicht auszumachen.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