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816/2023 vom 10. Oktober 2024</w:t>
      </w:r>
    </w:p>
    <w:p>
      <w:r>
        <w:t>Bundesgericht, 2024-10-10, DE</w:t>
      </w:r>
    </w:p>
    <w:p>
      <w:r>
        <w:rPr>
          <w:b/>
        </w:rPr>
        <w:t xml:space="preserve">Quelle: </w:t>
      </w:r>
      <w:r>
        <w:t>https://mcp.opencaselaw.ch/entscheid/bger_5A_816_2023</w:t>
      </w:r>
    </w:p>
    <w:p>
      <w:r>
        <w:t>FR: TF 5A 816/2023 du 10 octobre 2024</w:t>
      </w:r>
    </w:p>
    <w:p>
      <w:r>
        <w:t>IT: TF 5A 816/2023 del 10 ottobre 2024</w:t>
      </w:r>
    </w:p>
    <w:p>
      <w:pPr>
        <w:pStyle w:val="Heading2"/>
      </w:pPr>
      <w:r>
        <w:t>Regeste</w:t>
      </w:r>
    </w:p>
    <w:p>
      <w:r>
        <w:t>Unterhalt / Obhut / Besuchsrecht | Familienrecht</w:t>
      </w:r>
    </w:p>
    <w:p>
      <w:pPr>
        <w:pStyle w:val="Heading2"/>
      </w:pPr>
      <w:r>
        <w:t>Erwägungen</w:t>
      </w:r>
    </w:p>
    <w:p>
      <w:r>
        <w:rPr>
          <w:b/>
        </w:rPr>
        <w:t>E. 1</w:t>
      </w:r>
    </w:p>
    <w:p>
      <w:r>
        <w:t>Angefochten ist der Endentscheid ( Art. 90 BGG ) einer letzten kantonalen Instanz, die als oberes Gericht auf Rechtsmittel hin ( Art. 75 BGG ) über vermögensrechtliche (Kindesunterhalt) und nicht vermögensrechtliche (Obhut, Betreuung) Kinderbelange entschieden hat. Diese Zivilsache ( Art. 72 Abs. 1 BGG ; Urteil 5A_278/2022 vom 1. September 2022 E. 1.1) unterliegt keinem Streitwerterfordernis ( BGE 137 III 380 E. 1.1). Der Beschwerdeführer ist zur Beschwerde berechtigt ( Art. 76 Abs. 1 BGG ), die er fristgerecht ( Art. 100 Abs. 1 BGG ) erhoben hat. Auf die Beschwerde in Zivilsachen ist daher unter Vorbehalt der nachfolgenden Ausführungen einzutreten.</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2.3</w:t>
      </w:r>
    </w:p>
    <w:p>
      <w:r>
        <w:t>Neue Tatsachen und Beweismittel dürfen vor Bundesgericht nur so weit vorgebracht werden, als erst der Entscheid der Vorinstanz dazu Anlass gibt ( Art. 99 Abs. 1 BGG ). Inwiefern dies der Fall ist, ist in der Beschwerde näher dazulegen (vgl. Art. 42 Abs. 2 BGG ).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unbeachtlich ( BGE 143 V 19 E. 1.2; 139 III 120 E. 3.1.2). Der Beschwerdeführer verweist im Zusammenhang mit der Obhutzuteilung (vgl. E. 3 hiernach) darauf, dass er über einen Führerausweis verfüge und sich jederzeit ein eigenes Auto anschaffen könne. In der Eingabe vom 10. September 2024 gibt er weiter unter Beilage verschiedener im Jahre 2024 entstandener Unterlagen an, die Mutter "torpediere" seinen Kontakt zur Tochter. All diese Vorbringen sind neu und bleiben unbeachtlich: Grossteils handelt es sich um echte Noven, die durch das Bundesgericht von vornherein nicht berücksichtigt werden können. Soweit es dagegen unechte Noven sind, bleiben sie ausser Acht, weil der vorinstanzliche Verfahrensausgang allein noch kein Grund ist, sie erst vor Bundesgericht vorzutragen ( Art. 99 Abs. 1 BGG ; BGE 143 V 19 E. 1.2).</w:t>
      </w:r>
    </w:p>
    <w:p>
      <w:r>
        <w:rPr>
          <w:b/>
        </w:rPr>
        <w:t>E. 3.1</w:t>
      </w:r>
    </w:p>
    <w:p>
      <w:r>
        <w:t>Anlass zur Beschwerde gibt die Zuteilung der alleinigen Obhut über die Tochter an die Beschwerdegegnerin 2 und die Verweigerung der alternierenden Obhut (zum Begriff vgl. BGE 147 III 121 E. 3.2). Das Kantonsgericht erachtet beide Elternteile als erziehungsfähig. Sodann sei die Beziehung beider Eltern zur Tochter als gut zu beschreiben. Allerdings hätten die Eltern sich kurz nach der Geburt der Tochter getrennt und sei diese bisher zum weit überwiegenden Teil von der Mutter betreut worden. Der Vater habe bisher nur sehr beschränkt Betreuungsaufgaben übernommen (vgl. vorne Bst. A.a). Das Kriterium der Stabilität der Verhältnisse spreche daher gegen eine alternierende Obhut. Die geografischen Gegebenheiten stünden einer solchen ebenfalls entgegen, solange der Vater über kein Auto verfüge und die Strecke zwischen Wohnort und Kindergarten mit dem öffentlichen Verkehr zurücklegen wolle, was rund 45 Minuten in Anspruch nehme. Die alternierende Obhut erscheine weiter aufgrund des Elternkonflikts und des gegenseitigen Misstrauens zwischen den Eltern als problematisch. Namentlich sei nicht zu erwarten, dass diese sich längerfristig zu Alltagsfragen ausreichend austauschen und diesbezüglich kooperieren könnten. Auch in Zukunft sei eine Beruhigung der Lage nicht zu erwarten. Mit zunehmendem Alter der Tochter dürfte diese die vorhandenen Spannungen vielmehr vermehrt wahrnehmen, was zu einem verstärkten Loyalitätskonflikt führe. Alles in allem falle die Anordnung einer alternierenden Obhut daher ausser Betracht und der entsprechende Antrag sei abzuweisen. Es bleibe bei der alleinigen Obhut der Mutter.</w:t>
      </w:r>
    </w:p>
    <w:p>
      <w:r>
        <w:rPr>
          <w:b/>
        </w:rPr>
        <w:t>E. 3.2</w:t>
      </w:r>
    </w:p>
    <w:p>
      <w:r>
        <w:t>Der Beschwerdeführer wirft dem Kantonsgericht vorab vor, den Sachverhalt verschiedentlich offensichtlich unrichtig oder willkürlich ( Art. 9 BV ) festgestellt zu haben. So namentlich bezüglich des Elternkonflikts und der Zusammenarbeit der Eltern in den Kinderbelangen. Indes beschränkt der Beschwerdeführer sich im Ergebnis darauf, dem Bundesgericht in weitgehend appellatorischer Art und Weise seine eigene Sicht der tatsächlichen Geschehnisse zu unterbreiten und die abweichende Sichtweise des Obergerichts als willkürlich zu bezeichnen. Damit lässt sich kein durch das Bundesgericht zu berücksichtigender Fehler in der Feststellung der tatsächlichen Grundlagen des angefochtenen Entscheids dartun ( BGE 136 II 49 E. 1.4.1; 134 II 244 E. 2.2). Auf die Beschwerde ist insoweit nicht einzutreten.</w:t>
      </w:r>
    </w:p>
    <w:p>
      <w:r>
        <w:rPr>
          <w:b/>
        </w:rPr>
        <w:t>E. 3.3</w:t>
      </w:r>
    </w:p>
    <w:p>
      <w:r>
        <w:t>Nach Ansicht des Beschwerdeführers hat das Kantonsgericht sodann in verschiedener Hinsicht gegen das Gesetz verstossen (namentlich gegen Art. 298 Abs. 2ter und 298b Abs. 3ter ZGB). In seinen diesbezgüglichen Ausführungen stützt er sich freilich auf die von ihm selbst vorgetragenen und hier nicht massgeblichen (vgl. E. 2.3 und 3.2 hiervor) tatsächlichen Verhältnisse. Seinen Ausführungen sind daher die Grundlagen entzogen und er vermag den angefochtenen Entscheid bereits aus diesem Grund nicht in Frage zu stellen.</w:t>
      </w:r>
    </w:p>
    <w:p>
      <w:r>
        <w:rPr>
          <w:b/>
        </w:rPr>
        <w:t>E. 3.4</w:t>
      </w:r>
    </w:p>
    <w:p>
      <w:r>
        <w:t>Der Beschwerdeführer wirft der Vorinstanz ausserdem vor, verschiedentlich den Anspruch auf rechtliches Gehör ( Art. 29 Abs. 2 BV ) verletzt zu haben. Allerdings äussert er sich nicht zur Erheblichkeit der angeblichen Verfassungsverletzung, zeigt also nicht auf, inwieweit die seiner Ansicht nach korrekte Durchführung des Verfahrens zu einem anderen Ergebnis geführt hätte (Urteil 5A_85/2021 vom 26. März 2021 E. 6.2). Da der Beschwerdeführer sodann durchwegs von unzutreffenden tatsächlichen Grundlagen ausgeht und seine rechtlichen Ausführungen ohne Grundlage im massgebenden Sachverhalt bleiben (vgl. E. 3.2 und 3.3 hiervor), springt dies auch nicht geradezu in die Augen. Was die geografischen Verhältnisse anbelangt, missachtet der Beschwerdeführer, abgesehen davon, dass er sich in diesem Zusammenhang auf unzulässige neue Tatsachen stützt (vorne E. 2.3), dass dieses Kriterium für die Vorinstanz nur eine untergeordnete Rolle spielte. Auf die Beschwerde ist insoweit nicht einzutreten.</w:t>
      </w:r>
    </w:p>
    <w:p>
      <w:r>
        <w:rPr>
          <w:b/>
        </w:rPr>
        <w:t>E. 4.1</w:t>
      </w:r>
    </w:p>
    <w:p>
      <w:r>
        <w:t>Der Beschwerdeführer ist sodann mit der Festlegung des von ihm unbestritten geschuldeten Kindesunterhalts nicht einverstanden. Er erachtet den angefochtenen Entscheid indessen (allein) deshalb als fehlerhaft, weil das Kantonsgericht seinen Berechnungen nicht eine alternierende Obhut, sondern die Alleinobhut der Mutter zugrundegelegt hat: Es sei "von einer hälftigen Kinderbetreuung des Vaters auszugehen. Der Kindsvater muss unter diesen Umständen in Abweichung zur vorliegenden Unterhaltsverpflichtung nicht mehr allein, sondern nur noch anteilsmässig den Barunterhalt von B.________ abdecken." Der angefochtene Entscheid ist wie vorne in E. 3 dargelegt hinsichtlich der Obhut über die Tochter indes nicht zu beanstanden. Den Vorbringen des Beschwerdeführers zum Kindesunterhalt ist daher die Grundlage entzogen und sie erweisen sich von vornherein als unbegründet.</w:t>
      </w:r>
    </w:p>
    <w:p>
      <w:r>
        <w:rPr>
          <w:b/>
        </w:rPr>
        <w:t>E. 4.2</w:t>
      </w:r>
    </w:p>
    <w:p>
      <w:r>
        <w:t>Soweit der Beschwerdeführer die Berechnung seiner Steuerlast sodann unabhängig von der Obhutsregelung als unzutreffend kritisieren sollte, ist die Beschwerde ungenügend begründet (vgl. vorne E. 2.1) : Auch hier begnügt der Beschwerdeführer sich mit einem Hinweis auf die Akten, ohne dass er auf die einschlägigen Überlegungen des Kantonsgerichts eingehen würde. Dies reicht nicht aus und auf die Beschwerde ist insoweit nicht einzutreten.</w:t>
      </w:r>
    </w:p>
    <w:p>
      <w:r>
        <w:rPr>
          <w:b/>
        </w:rPr>
        <w:t>E. 5</w:t>
      </w:r>
    </w:p>
    <w:p>
      <w:r>
        <w:t>Zusammenfassend ist die Beschwerde abzuweisen, soweit darauf einzutreten ist. Unter diesen Umständen besteht kein Anlass, auf die Verlegung der Prozesskosten des kantonalen Verfahrens einzugehen, die nicht unabhängig vom Ausgang des vorliegenden Verfahrens angefochten ist. Bei diesem Ausgang des Verfahrens sind die Gerichtskosten dem unterliegenden Beschwerdeführer aufzuerlegen ( Art. 66 Abs. 1 BGG ). Parteientschädigung ist keine zu sprechen, da der obsiegenden Beschwerdegegnerin mangels Einholens von Vernehmlassungen keine entschädigungspflichtigen Kosten entstanden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