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815/2018 vom 10. Dezember 2018</w:t>
      </w:r>
    </w:p>
    <w:p>
      <w:r>
        <w:t>Bundesgericht, 2018-12-10, FR</w:t>
      </w:r>
    </w:p>
    <w:p>
      <w:r>
        <w:rPr>
          <w:b/>
        </w:rPr>
        <w:t xml:space="preserve">Quelle: </w:t>
      </w:r>
      <w:r>
        <w:t>https://mcp.opencaselaw.ch/entscheid/bger_5A_815_2018</w:t>
      </w:r>
    </w:p>
    <w:p>
      <w:r>
        <w:t>FR: TF 5A 815/2018 du 10 décembre 2018</w:t>
      </w:r>
    </w:p>
    <w:p>
      <w:r>
        <w:t>IT: TF 5A 815/2018 del 10 dicembre 2018</w:t>
      </w:r>
    </w:p>
    <w:p>
      <w:pPr>
        <w:pStyle w:val="Heading2"/>
      </w:pPr>
      <w:r>
        <w:t>Regeste</w:t>
      </w:r>
    </w:p>
    <w:p>
      <w:r>
        <w:t>réalisation complémentaire dans une liquidation de faillite, droit de former plainte du créancier de la faillite | Droit des poursuites et faillites</w:t>
      </w:r>
    </w:p>
    <w:p>
      <w:pPr>
        <w:pStyle w:val="Heading2"/>
      </w:pPr>
      <w:r>
        <w:t>Erwägungen</w:t>
      </w:r>
    </w:p>
    <w:p>
      <w:r>
        <w:rPr>
          <w:b/>
        </w:rPr>
        <w:t>E. 1</w:t>
      </w:r>
    </w:p>
    <w:p>
      <w:r>
        <w:t>Interjeté dans le délai légal ( art. 100 al. 2 let. a LTF ) par la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 En matière de constatation des faits et d'appréciation des preuves, le Tribunal fédéral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133 II 249 consid. 1.4.3; 129 I 8 consid. 2.1).</w:t>
      </w:r>
    </w:p>
    <w:p>
      <w:r>
        <w:rPr>
          <w:b/>
        </w:rPr>
        <w:t>E. 3</w:t>
      </w:r>
    </w:p>
    <w:p>
      <w:r>
        <w:t>La Chambre de surveillance a constaté que le motif de contestation de la vente de gré à gré invoqué par le plaignant consistait dans l'estimation à ses yeux trop basse de la valeur de l'une des huit participations cédées de gré à gré à B.________ SA le 15 juillet 2016. Il y voyait un vice de la volonté en ce sens que l'Office se serait trouvé dans l'erreur sur la véritable valeur de cette participation, et ce en raison d'un comportement dolosif de G.________. Or, selon ses propres déclarations, le plaignant avait eu connaissance des pièces établissant selon lui cette sous-estimation (soit les bilans et comptes de résultat de F.________ pour les exercices 2015 et 2016) en mars 2017 déjà. C'était du reste en se fondant sur ces pièces, et avec une argumentation pour l'essentiel similaire à celle soutenue dans le cadre de sa plainte, qu'il avait requis le 5 avril 2017 du Tribunal de première instance la réinscription au registre du commerce de D.________ SA en liquidation. Il fallait donc retenir qu'au plus tard au début du mois d'avril 2017, le plaignant avait connaissance non seulement de l'adjudication intervenue le 15 juillet 2016 mais également du motif justifiant selon lui la contestation de cet acte. Déposée le 1er juin 2017 seulement, la plainte était donc tardive, et partant irrecevable. Nonobstant l'irrecevabilité de la plainte, la Chambre de surveillance a examiné si la vente de gré à gré du 15 juillet 2016 était frappée de nullité ( art. 22 al. 1 LP ). En résumé, elle a jugé que l'examen du dossier ne permettait pas de retenir l'existence d'une tromperie intentionnelle de la part de H.________ et, surtout, de G.________, portant sur la valeur de la participation dans F.________. La procédure d'estimation et de réalisation de cet actif, ainsi que des autres actifs vendus de gré à gré le 15 juillet 2016, s'était déroulée conformément aux règles prévues en la matière. Une éventuelle inexactitude de l'estimation faite par l'Office de la participation dans F.________ aurait dû être invoquée dans le cadre d'une plainte contre l'inventaire ou contre la circulaire du 18 avril 2016 en proposant la vente de gré à gré, et ne pouvait par voie de conséquence entraîner la nullité de l'adjudication du 15 juillet 2016.</w:t>
      </w:r>
    </w:p>
    <w:p>
      <w:r>
        <w:rPr>
          <w:b/>
        </w:rPr>
        <w:t>E. 4</w:t>
      </w:r>
    </w:p>
    <w:p>
      <w:r>
        <w:t>Invoquant, sous des angles qui se recoupent largement, tant la violation du droit d'être entendu que la constatation et l'appréciation arbitraires des faits, le recourant fait grief à la Chambre de surveillance d'avoir omis, sans aucune justification, d'examiner la question de la qualité de G.________ d'organe de fait non seulement de la faillie mais également des sociétés cédées le 15 juillet 2016, notamment E.________ et F.________. Il s'agissait là pourtant d'un élément de fait décisif pour l'issue de la cause, qui avait été allégué à plusieurs reprises dans la plainte du 1er juin 2017, preuves à l'appui. La reconnaissance de sa qualité d'organe de fait signifiait que G.________ décidait de la conduite de la société et avait ainsi accès à toutes les informations pertinentes pour l'établissement des comptes et l'évaluation des actifs. Partant, au moment de la vente de gré à gré du 15 juillet 2016 des sociétés E.________ et F.________ à la société B.________ SA, ce dernier savait parfaitement que les participations dans ces sociétés avaient été acquises à vil prix. Or, à l'instar de H.________, il avait volontairement trompé l'administration de la faillite en la maintenant dans l'ignorance de la comptabilité des sociétés tierces détenues par la faillie. On ne voit cependant pas en quoi cet élément de fait serait pertinent et pourrait influer sur l'issue de la cause. Tant le recourant dans ses écritures cantonales que la Chambre de surveillance dans sa décision dont est recours se sont basés sur un arrêt ancien aux termes duquel le Tribunal fédéral a jugé que la tardiveté de la plainte n'est pas opposable au plaignant lorsque la vente a été faussée par le dol du débiteur (arrêt du 30 mars 1937 publié in SJ 1937 p. 513). Il apparaît à la lecture de cet arrêt qu'il s'agissait d'éviter que des manoeuvres frauduleuses du débiteur faussent la procédure d'enchères et conduisent à ce que des intéressés - non poursuivants - formulent des offres qu'ils n'auraient pas faites en l'absence de dol. Cette jurisprudence - qui vise expressément et uniquement le (tiers) adjudicataire - n'a donc pas vocation à s'appliquer à un créancier admis à l'état de collocation qui, comme en l'espèce, n'a non seulement pas porté plainte devant l'autorité de surveillance contre l'estimation des actifs considérés mais n'a pas non plus formulé d'offre d'achat dans le délai imparti à cet effet par l'Office. Dès lors que le créancier admis à l'état de collocation participe à la procédure, l'éventuelle nullité, qui au demeurant ne doit être admise qu'exceptionnellement, est limitée à la violation des dispositions légales impératives édictées dans l'intérêt public ( art. 22 al. 1 LP ; cf. s'agissant expressément d'une vente de gré à gré dans le cadre d'une faillite: ATF 128 III 104 consid. 3b et 4). Tel est le cas en principe des dispositions de procédure et de celles traitant de la compétence matérielle des autorités (cf. arrêt 5A_403/2017 du 11 septembre 2017 consid. 7.2.1 et les références). Or, pas plus qu'en instance cantonale, le recourant n'expose à satisfaction en quoi les faits qu'il met en exergue permettraient, s'ils étaient retenus, de conclure que l'on se trouve ici en présence d'opérations contraires à de telles dispositions. Il suit de là que le recourant ne pouvait échapper aux conséquences de la tardiveté de sa plainte, dont il ne conteste au demeurant pas le constat. Autant que recevable, le moyen doit par conséquent être rejeté.</w:t>
      </w:r>
    </w:p>
    <w:p>
      <w:r>
        <w:rPr>
          <w:b/>
        </w:rPr>
        <w:t>E. 5</w:t>
      </w:r>
    </w:p>
    <w:p>
      <w:r>
        <w:t>Le recourant se plaint en outre d'une violation de l' art. 269 LP . Nonobstant la jonction des causes ordonnée par la Chambre de surveillance, on peut se demander s'il est autorisé à s'en plaindre tant il est vrai que sa critique est dirigée contre les motifs de la décision querellée en lien avec la plainte déposée par B.________ SA, E.________, C.________ SA et G.________ contre la décision de l'Office du 23 mai 2017 (cf. supra let. B.b). Quoi qu'il en soit, dès lors qu'il le lie à la question de la qualité d'organe de fait de G.________, ce moyen dépend entièrement de son précédent grief, qui a toutefois été rejeté dans la mesure de recevabilité. Point n'est donc besoin d'encore examiner, comme le voudrait le recourant, si c'est à bon droit que la Chambre de surveillance a considéré que le caractère " nouvellement découvert " au sens de l' art. 269 LP ne pouvait s'appliquer aux actifs considérés, dès lors qu'ils étaient connus de l'Office pour avoir été inventoriés et réalisés.</w:t>
      </w:r>
    </w:p>
    <w:p>
      <w:r>
        <w:rPr>
          <w:b/>
        </w:rPr>
        <w:t>E. 6</w:t>
      </w:r>
    </w:p>
    <w:p>
      <w:r>
        <w:t>En définitive, le recours est rejeté dans la mesure de sa recevabilité. Les frais judiciaires, arrêtés à 3'000 fr., doivent par conséquent être mis à la charge du recourant qui succombe ( art. 66 al. 1 LTF ). Les intimées, qui n'ont pas été invitées à répondre sur le fond et qui n'ont pas été suivies sur effet suspensif,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