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5A_815/2015 vom 20. Januar 2016</w:t>
      </w:r>
    </w:p>
    <w:p>
      <w:r>
        <w:t>Bundesgericht, 2016-01-20, FR</w:t>
      </w:r>
    </w:p>
    <w:p>
      <w:r>
        <w:rPr>
          <w:b/>
        </w:rPr>
        <w:t xml:space="preserve">Quelle: </w:t>
      </w:r>
      <w:r>
        <w:t>https://mcp.opencaselaw.ch/entscheid/bger_5A_815_2015</w:t>
      </w:r>
    </w:p>
    <w:p>
      <w:r>
        <w:t>FR: TF 5A_815/2015 du 20 janvier 2016</w:t>
      </w:r>
    </w:p>
    <w:p>
      <w:r>
        <w:t>IT: TF 5A_815/2015 del 20 gennaio 2016</w:t>
      </w:r>
    </w:p>
    <w:p>
      <w:pPr>
        <w:pStyle w:val="Heading2"/>
      </w:pPr>
      <w:r>
        <w:t>Erwägungen</w:t>
      </w:r>
    </w:p>
    <w:p>
      <w:r>
        <w:rPr>
          <w:b/>
        </w:rPr>
        <w:t>E. 1.1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prévu par la loi ( art. 100 al. 1 LTF ), de sorte que son recours est en principe recevable au regard des dispositions qui précèdent.</w:t>
      </w:r>
    </w:p>
    <w:p>
      <w:r>
        <w:rPr>
          <w:b/>
        </w:rPr>
        <w:t>E. 1.2</w:t>
      </w:r>
    </w:p>
    <w:p>
      <w:r>
        <w:t>A teneur de l' art. 99 al. 2 LTF , toute conclusion nouvelle est irrecevable devant le Tribunal fédéral. Devant l'autorité précédente, la recourante avait conclu à ce que la jouissance de la villa conjugale lui soit attribuée jusqu'au 31 décembre 2016. Devant le Tribunal fédéral, elle conclut à ce qu'elle soit autorisée à demeurer dans dite villa pendant cinq ans dès divorce définitif et exécutoire. Elle n'explique pas cette augmentation de sa conclusion, sinon par référence au fait qu'une telle durée " apparaît raisonnable ". Au regard de l' art. 99 al. 2 LTF , une pareille modification est inadmissible au stade du recours au Tribunal fédéral. En tant qu'elle sollicite l'attribution de la villa conjugale au-delà du 31 décembre 2016, sa conclusion est dès lors irrecevable.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 art. 42 al. 2 LTF exige par ailleurs que le recourant discute les motifs de la décision entreprise et indique précisément en quoi il estime que l'autorité précédente a méconnu le droit ( ATF 140 III 86 consid. 2 p. 89). Le grief doit être développé dans le recours même, un renvoi à d'autres écritures ou à des pièces n'étant pas admissible ( ATF 138 IV 47 consid. 2.8.1 p. 54; 133 II 396 consid. 3.2 p. 400).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p. 89; 134 II 244 consid. 2.1 et 2.3 p. 246 s.). En outre, le Tribunal fédéral ne connaît de la violation de droits fondamentaux que si un tel grief a été invoqué et motivé par le recourant (" principe d'allégation ", art. 106 al. 2 LTF ; ATF 139 I 229 consid. 2.2 p. 234; 137 II 305 consid. 3.3 p. 310 s.), c'est-à-dire s'il a été expressément soulevé et exposé de façon claire et détaillée ( ATF 135 III 232 consid. 1.2 p. 234). Les critiques de nature appellatoire sont irrecevables ( ATF 140 III 264 consid. 2.3 p. 266; 139 II 404 consid. 10.1 p. 445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133 II 249 consid. 1.2.2 p. 252), doit démontrer, par une argumentation précise, en quoi consiste la violation ( art. 106 al. 2 LTF ).</w:t>
      </w:r>
    </w:p>
    <w:p>
      <w:r>
        <w:rPr>
          <w:b/>
        </w:rPr>
        <w:t>E. 3</w:t>
      </w:r>
    </w:p>
    <w:p>
      <w:r>
        <w:t>Sans préciser plus avant à quelle disposition légale se réfère sa critique, la recourante conteste la limitation de la durée de la contribution d'entretien en sa faveur au 31 mars 2016. Elle soulève ainsi en substance le grief de violation de l' art. 125 CC .</w:t>
      </w:r>
    </w:p>
    <w:p>
      <w:r>
        <w:rPr>
          <w:b/>
        </w:rPr>
        <w:t>E. 3.1</w:t>
      </w:r>
    </w:p>
    <w:p>
      <w:r>
        <w:t>Selon l' art. 125 al. 1 CC , si l'on ne peut raisonnablement attendre d'un époux qu'il pourvoie lui-même à son entretien convenable,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Une contribution est due si le mariage a concrètement influencé la situation financière de l'époux crédirentier ("lebensprägende Ehe"; ATF 137 III 102 consid. 4.1.2 p. 105).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lorsque ceux-ci ont des enfants communs ( ATF 135 III 59 consid. 4.1 p. 61), sauf en présence de circonstances exceptionnelles (arrêt 5A_177/2010 du 8 juin 2010 consid. 6).</w:t>
      </w:r>
    </w:p>
    <w:p>
      <w:r>
        <w:rPr>
          <w:b/>
        </w:rPr>
        <w:t>E. 3.2</w:t>
      </w:r>
    </w:p>
    <w:p>
      <w:r>
        <w:t>La cour cantonale a d'abord rappelé le raisonnement des premiers juges, ceux-ci ayant retenu que le mariage des parties pouvait être considéré comme étant de courte durée, puisqu'elles se sont séparées en juin 2008, soit deux ans et demi après leur union; ils ont par ailleurs relativisé l'importance à accorder à la naissance de l'enfant D.________, l'intimé ayant toujours fait savoir qu'il ne voulait plus d'enfant et la séparation étant intervenue avant la naissance de celui-ci; enfin, ils ont estimé que l'épouse pouvait d'ores et déjà exercer une activité professionnelle, à tout le moins à mi-temps.</w:t>
      </w:r>
    </w:p>
    <w:p>
      <w:r>
        <w:t>Confirmant cette approche, la cour cantonale a considéré que la durée du mariage des parties, calculée jusqu'à la séparation, ne saurait permettre de considérer que celui-ci a concrètement influencé la situation financière de l'épouse. Par ailleurs, les circonstances dans lesquelles leur enfant est né, singulièrement alors que la séparation était déjà intervenue, conduisent également à nier un impact décisif du mariage. Il est constant que l'intimé ne voulait plus d'enfant et qu'il reprochait déjà à son épouse son oisiveté du temps de la vie commune, ce qu'elle ne conteste pas. La cour cantonale se réfère ensuite à la constatation des premiers juges sur l'absence d'accord entre les parties sur une répartition des rôles dans laquelle le mari exercerait une activité lucrative pendant que l'épouse s'occuperait de l'enfant et du ménage; dans ces circonstances, elle estime qu'il n'y pas de confiance placée dans le maintien du mariage et la répartition des rôles à protéger. Partant et par référence à l'arrêt 5A_177/2010 du 8 juin 2010, elle considère que le principe selon lequel la reprise d'une activité lucrative à un taux de 50% ne peut être exigé de l'épouse avant que l'enfant n'ait atteint l'âge de 10 ans doit être atténué. Au demeurant, la cour cantonale expose que l'épouse n'indique pas quels éléments particuliers auraient pu justifier une confiance de sa part dans le fait qu'elle n'aurait jamais à pourvoir elle-même à son entretien. Faute d'influence concrète du mariage sur les conditions d'existence de l'épouse, en particulier sur sa capacité de travail - étant rappelé qu'elle était déjà mère d'une enfant de 5 ans à cette époque et que la vie commune a été relativement brève - celle-ci doit être replacée dans la situation qui serait la sienne si le mariage n'avait pas été conclu. Au surplus, l'autorité précédente retient que l'épouse ne démontre pas quelles circonstances de fait l'empêcheraient d'exercer une activité lucrative, alors qu'elle a disposé de sept ans depuis la séparation pour se préparer à cette échéance et que la violence du conflit entre les parties était déjà telle qu'elle ne pouvait raisonnablement compter sur une reprise de la vie commune. Considérant que les conditions d'octroi d'une rente fondée sur l' art. 125 CC ne sont pas remplies, la cour cantonale lui a néanmoins laissé un délai d'adaptation légèrement plus long que celui retenu par les premiers juges et alloué une " contribution d'entretien transitoire " jusqu'au 31 mars 2016, ce qui lui laissera le temps de trouver un emploi à tout le moins à temps partiel.</w:t>
      </w:r>
    </w:p>
    <w:p>
      <w:r>
        <w:rPr>
          <w:b/>
        </w:rPr>
        <w:t>E. 3.3</w:t>
      </w:r>
    </w:p>
    <w:p>
      <w:r>
        <w:t>La recourante estime déterminant le fait que les conjoints ont un enfant, âgé aujourd'hui de sept ans, sur lequel elle a l'autorité parentale et la garde, ce qui limite sa faculté d'exercer une activité lucrative, ce d'autant qu'elle avait déjà, lors du mariage, la garde d'une autre enfant, issue d'une précédente union. Selon elle, la capacité de pourvoir soi-même à son entretien est susceptible d'être limitée par la charge que représente la garde des enfants; en principe, on ne peut exiger d'un époux la prise ou reprise d'une activité lucrative à un taux de 50% avant que le plus jeune enfant ait atteint l'âge de 10 ans révolus, étant encore précisé que le juge doit lui laisser un délai pour s'organiser à ces fins. La recourante considère alors que l'arrêt attaqué retient à tort que le mariage n'a pas exercé d'influence concrète sur ses conditions d'existence. Se référant enfin à sa situation personnelle, elle précise que sa formation de juriste, suivie en Moldavie, ne lui est d'aucune utilité en Suisse et que son activité artistique actuelle, soit la peinture, ne lui rapporte rien, en sorte qu'elle n'arrivera à réaliser ces prochaines années qu'un modeste revenu, alors que la situation financière de son époux est confortable.</w:t>
      </w:r>
    </w:p>
    <w:p>
      <w:r>
        <w:t>Par sa critique, la recourante se contente d'exposer en termes généraux son appréciation de sa situation personnelle, sans s'en prendre plus avant aux différentes articulations du raisonnement de la cour cantonale. En particulier et s'agissant de l'enfant commun, elle ne conteste pas que les parties ne se sont pas mises d'accord sur une répartition des rôles durant le mariage, que l'époux ne voulait plus d'enfant et qu'elle n'a été en mesure de fournir aucun élément susceptible de justifier une éventuelle confiance qu'elle aurait pu placer dans le fait que son époux pourvoirait à son entretien. De même, elle ne remet pas en cause l'appréciation de la cour cantonale en tant qu'elle considère pouvoir la replacer dans la situation qui était la sienne avant le mariage, alors qu'elle avait déjà un enfant de 5 ans à sa charge. Enfin et indépendamment de la pertinence de la question, elle se contente d'affirmer qu'elle aurait de la difficulté à retrouver un emploi en se référant par exemple - sans soulever le grief de son établissement arbitraire (cf. supra consid. 2.2) - à un élément de fait qui ne ressort pas de l'arrêt attaqué, à savoir l'inutilité de sa formation de juriste, et en occultant le fait qu'elle parle couramment le russe et le français et qu'elle a déjà disposé de sept ans depuis la séparation pour se préparer à retrouver une activité lucrative. En définitive, la cour cantonale s'est à juste titre référée à la jurisprudence relativisant l'impact de la naissance d'un enfant commun dans des circonstances particulières comparables à la présente espèce, à savoir à l'arrêt 5A_177/2010 du 8 juin 2010, que la recourante ne discute même pas. Autant que suffisamment motivé (cf. supra consid. 2.1), le grief est infondé.</w:t>
      </w:r>
    </w:p>
    <w:p>
      <w:r>
        <w:rPr>
          <w:b/>
        </w:rPr>
        <w:t>E. 4</w:t>
      </w:r>
    </w:p>
    <w:p>
      <w:r>
        <w:t>La recourante soulève le grief de violation de l' art. 121 al. 3 CC , réclamant le droit de rester dans la villa conjugale pour une plus longue durée que celle retenue par la cour cantonale.</w:t>
      </w:r>
    </w:p>
    <w:p>
      <w:r>
        <w:rPr>
          <w:b/>
        </w:rPr>
        <w:t>E. 4.1</w:t>
      </w:r>
    </w:p>
    <w:p>
      <w:r>
        <w:t>A teneur de l' art. 121 al. 1 CC , lorsque la présence d'enfants ou d'autres motifs importants le justifient, le juge peut attribuer à l'un des époux les droits et obligations qui résultent du contrat de bail portant sur le logement de la famille, pour autant que cette décision puisse raisonnablement être imposée à l'autre conjoint. L'al. 3 précise que dans les mêmes conditions, le juge peut attribuer à l'un des époux un droit d'habitation de durée limitée sur le logement de la famille qui appartient à l'autre conjoint, moyennant une indemnité équitable ou une déduction équitable de la contribution d'entretien.</w:t>
      </w:r>
    </w:p>
    <w:p>
      <w:r>
        <w:rPr>
          <w:b/>
        </w:rPr>
        <w:t>E. 4.2</w:t>
      </w:r>
    </w:p>
    <w:p>
      <w:r>
        <w:t>La cour cantonale, après avoir constaté que l'épouse concluait à ce que la jouissance de la villa conjugale lui soit attribuée jusqu'au 31 décembre 2016 par référence aux difficultés pour se reloger (faibles moyens financiers, permis B), sans évoquer d'éventuel intérêts de l'enfant, partant sans faire valoir d'autres intérêts propres que la commodité, retient qu'il est en l'espèce opportun de ne lui accorder un tel droit que pour une durée légèrement plus longue que celle arrêtée par les premiers juges, en l'occurrence identique à celle durant laquelle elle percevra une contribution d'entretien pour elle-même, à savoir jusqu'au 31 mars 2016. Un droit d'habitation plus long ne se justifie pas, notamment parce que l'épouse savait qu'elle devrait quitter le logement conjugal une fois le divorce prononcé et qu'elle a disposé du temps nécessaire pour se préparer à cette échéance.</w:t>
      </w:r>
    </w:p>
    <w:p>
      <w:r>
        <w:rPr>
          <w:b/>
        </w:rPr>
        <w:t>E. 4.3</w:t>
      </w:r>
    </w:p>
    <w:p>
      <w:r>
        <w:t>En quelques lignes, la recourante se contente d'indiquer qu'elle n'a pas de fortune, qu'elle a la garde de deux enfants et qu'il importe qu'elle trouve un logement convenable et décent, ce qui sera difficile. S'agissant d'un " complément à l'entretien que [son époux] doit pour son fils et celle qui deviendra son ex-épouse ", elle estime qu'une durée de cinq ans dès divorce définitif et exécutoire " apparaît raisonnable ". Ce faisant, elle ne discute nullement la motivation de l'arrêt attaqué. Insuffisamment motivé, le grief est irrecevable (cf. supra consid. 2.1).</w:t>
      </w:r>
    </w:p>
    <w:p>
      <w:r>
        <w:rPr>
          <w:b/>
        </w:rPr>
        <w:t>E. 5</w:t>
      </w:r>
    </w:p>
    <w:p>
      <w:r>
        <w:t>Dans une dernière critique, la recourante s'en prend au sort des dépens en première et deuxième instances cantonales et préconise de les compenser entre parties. Elle affirme de manière générale, sans plus de précisions, avoir obtenu à tout le moins partiellement gain de cause en procédure, respectivement que la consultation du dossier révèle qu'il y a eu de multiples procédures d'appel et qu'elle a souvent obtenu gain de cause total ou partiel, puis se contente de reproduire textuellement des passages de son appel dirigé contre le jugement de première instance. La motivation de la recourante est manifestement insuffisante: en particulier, se limitant à de brèves affirmations exposées en termes généraux, elle omet de préciser à quelle (s) disposition (s) elle entend se référer pour en déduire des droits; de surcroît, la reproduction textuelle de passages de l'acte de recours devant l'autorité précédente ne satisfait aucunement à l'obligation de motiver (cf. supra consid. 2.1). Le grief est d'emblée irrecevable.</w:t>
      </w:r>
    </w:p>
    <w:p>
      <w:r>
        <w:rPr>
          <w:b/>
        </w:rPr>
        <w:t>E. 6</w:t>
      </w:r>
    </w:p>
    <w:p>
      <w:r>
        <w:t>Sur le vu de ce qui précède, le recours doit être rejeté dans la faible mesure de sa recevabilité, aux frais de la recourante ( art. 66 al. 1 LTF ). Celle-ci sera en outre condamnée à verser à l'intimé une indemnité de dépens de 500 fr. pour sa détermination sur la requête d'effet suspensif, question sur laquelle il a eu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