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5A_815/2013 vom 9. Januar 2014</w:t>
      </w:r>
    </w:p>
    <w:p>
      <w:r>
        <w:t>Bundesgericht, 2014-01-09, DE</w:t>
      </w:r>
    </w:p>
    <w:p>
      <w:r>
        <w:rPr>
          <w:b/>
        </w:rPr>
        <w:t xml:space="preserve">Quelle: </w:t>
      </w:r>
      <w:r>
        <w:t>https://mcp.opencaselaw.ch/entscheid/bger_5A_815_2013</w:t>
      </w:r>
    </w:p>
    <w:p>
      <w:r>
        <w:t>FR: TF 5A_815/2013 du 9 janvier 2014</w:t>
      </w:r>
    </w:p>
    <w:p>
      <w:r>
        <w:t>IT: TF 5A_815/2013 del 9 gennaio 2014</w:t>
      </w:r>
    </w:p>
    <w:p>
      <w:pPr>
        <w:pStyle w:val="Heading2"/>
      </w:pPr>
      <w:r>
        <w:t>Erwägungen</w:t>
      </w:r>
    </w:p>
    <w:p>
      <w:r>
        <w:rPr>
          <w:b/>
        </w:rPr>
        <w:t>E. 1.1</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(vgl. BGE 131 I 153 E. 1.2 S. 157).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136 III 497 E. 1.1 S. 499 mit Hinweisen).</w:t>
      </w:r>
    </w:p>
    <w:p>
      <w:r>
        <w:rPr>
          <w:b/>
        </w:rPr>
        <w:t>E. 1.2</w:t>
      </w:r>
    </w:p>
    <w:p>
      <w:r>
        <w:t>Im vorliegenden Fall befindet sich der Beschwerdeführer nicht mehr bei seiner Schwester. Aus den kantonalen Akten ergibt sich überdies, dass die Abklärungen des Kinder- und Jugenddienstes KJD per Ende Januar 2013 abgeschlossen worden sind, sodass ein aktuelles praktisches Interesse der Beschwerdeführer an der Beschwerde spätestens seit Ende Januar 2013 nicht mehr gegeben ist. Abgesehen davon legen die Beschwerdeführer auch nicht dar, inwiefern in ihrem Fall ein virtuelles Interesse im beschriebenen Sinn zu bejahen wäre. Sie machen hingegen geltend, die strittigen Kindesschutzmassnahmen hätten massiv in ihre Persönlichkeitssphäre eingegriffen, sodass es im Lichte von Art. 13 EMRK (Recht auf eine wirksame Beschwerde) möglich sein müsse, richterlichen Rechtsschutz zu erhalten. Die Feststellung der Widerrechtlichkeit stelle ausserdem eine besondere Form der Genugtuung dar, welche durch eine andere "Klageform" nicht hätte geltend gemacht werden können. Zudem garantiere Art. 6 EMRK den Zugang zu Verfahren.</w:t>
      </w:r>
    </w:p>
    <w:p>
      <w:r>
        <w:rPr>
          <w:b/>
        </w:rPr>
        <w:t>E. 2.1</w:t>
      </w:r>
    </w:p>
    <w:p>
      <w:r>
        <w:t>Art. 429a ZGB in der Fassung gemäss Bundesgesetz vom 6. Oktober 1978 (AS 1980 31; BBl 1977 III 1; nachfolgend aArt. 429a ZGB) regelte die (kausale) Haftpflicht für die widerrechtliche fürsorgerische Freiheitsentziehung. Danach hatte derjenige, der durch eine widerrechtliche Freiheitsentziehung verletzt worden war, Anspruch auf Schadenersatz und, wo die Schwere der Verletzung es rechtfertigt, auf Genugtuung. In diesem Verantwortlichkeitsprozess war die Feststellung der Widerrechtlichkeit als "eine andere Art der Genugtuung" möglich und zulässig ( BGE 118 II 254 Nr. 52). Nach der Rechtsprechung des Europäischen Gerichtshofs für Menschenrechte stellte die Klage nach aArt. 429a ZGB eine wirksame Beschwerde im Sinn von Art. 13 EMRK zur Überprüfung der Einhaltung von Art. 5 Ziff. 4 EMRK dar. Überdies genügte sie den Anforderungen von Art. 5 Ziff. 5 EMRK betreffend Anspruch auf Schadenersatz (Nichtzulassungsentscheid</w:t>
      </w:r>
    </w:p>
    <w:p>
      <w:r>
        <w:t>A.B. gegen Schweiz vom 6. April 2000, Zusammenfassung in: VPB 64/2000 Nr. 134 S. 1323). Das Bundesgericht trat daher auf Begehren um Feststellung der Widerrechtlichkeit der fürsorgerischen Freiheitsentziehung, insbesondere auf Feststellung der Verletzung der Garantien der EMRK nicht ein, sobald die betroffene Person aus der fürsorgerischen Freiheitsentziehung entlassen worden war (siehe zur alten Praxis BGE 136 III 497 E. 1.1 S. 499 und E. 2.4 S. 501).</w:t>
      </w:r>
    </w:p>
    <w:p>
      <w:r>
        <w:rPr>
          <w:b/>
        </w:rPr>
        <w:t>E. 2.2</w:t>
      </w:r>
    </w:p>
    <w:p>
      <w:r>
        <w:t>Mit der Einführung des neuen Kindes- und Erwachsenenschutzrechts am 1. Januar 2013 ist aArt 429a ZGB durch den geltenden Art. 454 ZGB ersetzt worden, welcher der im Rahmen behördlicher Massnahmen des Erwachsenenschutzes durch widerrechtliches Handeln oder Unterlassen verletzten Person einen Anspruch auf Schadenersatz und, sofern es die Schwere der Verletzung rechtfertigt, auf Genugtuung einräumt ( Art. 454 Abs. 1 ZGB ). Mit Blick auf den praktisch gleichlautenden Wortlaut der nunmehr geltenden Bestimmung übernahm das Bundesgericht die unter aArt. 429a ZGB entwickelte Rechtsprechung. Es tritt somit auch unter dem neuen Recht auf Begehren um Feststellung der Widerrechtlichkeit bzw. der Verletzung der durch die EMRK garantierten Rechte nicht ein und verweist die Betroffenen auf die Klage nach Art. 454 ZGB , sobald sie aus der Einrichtung entlassen worden sind (Urteil 5A_290/2013 vom 3. Juni 2013 E. 1.2).</w:t>
      </w:r>
    </w:p>
    <w:p>
      <w:r>
        <w:rPr>
          <w:b/>
        </w:rPr>
        <w:t>E. 2.3</w:t>
      </w:r>
    </w:p>
    <w:p>
      <w:r>
        <w:t>Im Gegensatz zu aArt. 429a ZGB ist der geltende Art. 454 ZGB nicht nur auf den Bereich der fürsorgerischen Unterbringung beschränkt: Er regelt die direkte kausale Staatshaftung in einem umfassenden Sinn, indem er nunmehr Anordnung, Durchführung oder Unterlassung irgendeiner Erwachsenenschutzmassnahme durch einen Mandatsträger oder die zuständige Behörde erfasst. Da die Erwachsenenschutzbehörde in Personalunion auch Kindesschutzbehörde ist ( Art. 440 Abs. 3 ZGB ), sind die Bestimmungen über die Verantwortlichkeit auch auf Massnahmen im Kindesschutz anwendbar (Botschaft des Bundesrates zur Änderung des Schweizerischen Zivilgesetzbuches [Erwachsenenschutz, Personenrecht und Kindesrecht] vom 28. Juni 2006, BBl 2006 Ziff. 2.3.5, S. 7092; Meier/Lukic, Introduction au nouveau droit de la protection de l'adulte, 2011, S. 70 Rz. 155; Heinz Hausheer, Basler Kommentar, Erwachsenenschutz, 2012, N. 4 zu Art. 454 ZGB ; Thomas Geiser, FamKommentar Erwachsenenschutz, 2013, N. 4 und 9 zu Art. 454 ZGB ; Patrick Fassbind, Erwachsenenschutz, 2012, S. 159; Hermann Schmid, Kommentar Erwachsenenschutz, 2010, S. 258 N. 2 zu Art. 454 ZGB ). Im Lichte dieses erweiterten Geltungsbereichs rechtfertigt es sich, die Anwendung der bisher unter dem Gesichtswinkel der fürsorgerischen Unterbringung entwickelten Rechtsprechung auf den vorliegenden Fall zu übertragen: Da die angeblichen Kindesschutzmassnahmen längst dahingefallen sind und das Verfahren vor dem Kinder- und Jugenddienst KJD per Ende Januar 2013 eingestellt worden ist, sind die Beschwerdeführer mit Bezug auf ihre Begehren um Feststellung der Widerrechtlichkeit der Anordnung der "Kindesschutzmassnahmen" bzw. der Widerrechtlichkeit des Verfahrens auf die Klage nach Art. 454 ZGB zu verweisen.</w:t>
      </w:r>
    </w:p>
    <w:p>
      <w:r>
        <w:rPr>
          <w:b/>
        </w:rPr>
        <w:t>E. 3</w:t>
      </w:r>
    </w:p>
    <w:p>
      <w:r>
        <w:t>Da das aktuelle praktische Interesse bereits bei Einreichung der vorliegenden Beschwerde nicht mehr gegeben war, ist auf die Beschwerde nicht einzutreten ( BGE 136 III 497 E. 2.1 S. 500). Bei diesem Ausgang des Verfahrens werden die Beschwerdeführer kostenpflichtig ( Art. 66 Abs. 1 BGG ), wobei sie für den Gesamtbetrag der Kosten solidarisch haften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