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814/2020 vom 21. Oktober 2020</w:t>
      </w:r>
    </w:p>
    <w:p>
      <w:r>
        <w:t>Bundesgericht, 2020-10-21, DE</w:t>
      </w:r>
    </w:p>
    <w:p>
      <w:r>
        <w:rPr>
          <w:b/>
        </w:rPr>
        <w:t xml:space="preserve">Quelle: </w:t>
      </w:r>
      <w:r>
        <w:t>https://mcp.opencaselaw.ch/entscheid/bger_5A_814_2020</w:t>
      </w:r>
    </w:p>
    <w:p>
      <w:r>
        <w:t>FR: TF 5A 814/2020 du 21 octobre 2020</w:t>
      </w:r>
    </w:p>
    <w:p>
      <w:r>
        <w:t>IT: TF 5A 814/2020 del 21 ottobre 2020</w:t>
      </w:r>
    </w:p>
    <w:p>
      <w:pPr>
        <w:pStyle w:val="Heading2"/>
      </w:pPr>
      <w:r>
        <w:t>Regeste</w:t>
      </w:r>
    </w:p>
    <w:p>
      <w:r>
        <w:t>Definitive Rechtsöffnung | Schuldbetreibungs- und Konkursrecht</w:t>
      </w:r>
    </w:p>
    <w:p>
      <w:pPr>
        <w:pStyle w:val="Heading2"/>
      </w:pPr>
      <w:r>
        <w:t>Erwägungen</w:t>
      </w:r>
    </w:p>
    <w:p>
      <w:r>
        <w:rPr>
          <w:b/>
        </w:rPr>
        <w:t>E. 1</w:t>
      </w:r>
    </w:p>
    <w:p>
      <w:r>
        <w:t>Mit Entscheid vom 9. Juni 2020 bzw. Rektifikat vom 11. Juni 2020 erteilte das Zivilkreisgericht Basel-Landschaft West dem Beschwerdegegner gegenüber dem Beschwerdeführer in der Betreibung Nr. xxx des Betreibungsamtes Basel-Landschaft die definitive Rechtsöffnung für Fr. 164'832.-- nebst Zins, Fr. 25'546.30, Fr. 8'970.10 nebst Zins, Fr. 440.40 und Fr. 43.95. Als Rechtsöffnungstitel dienten zwei Urteile des Landgerichts München II vom 11. April 2016 (Teil-Versäumnisurteil) bzw. 30. August 2018 (Kostenfestsetzungs beschluss). Gegen den Rechtsöffnungsentscheid vom 9. Juni 2020 (nicht jedoch gegen das Rektifikat) erhob der Beschwerdeführer am 16. Juni 2020 Beschwerde beim Kantonsgericht Basel-Landschaft. Mit Entscheid vom 7. September 2020 wies das Kantonsgericht die Beschwerde ab, soweit es darauf eintrat. Gegen diesen Entscheid hat der Beschwerdeführer am 29. September 2020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Vor Kantonsgericht hatte der Beschwerdeführer geltend gemacht, er sei nicht der letzte Geschäftsführer der C.________ GmbH gewesen und die Käuferin der C.________ GmbH habe diese absichtlich an die Wand gefahren. Das Kantonsgericht ist darauf nicht eingetreten, da im Rechtsöffnungsverfahren der materiell-rechtliche Bestand der Forderung nicht überprüft werde. Dazu hätte der Beschwerdeführer die ausländischen Urteile anfechten müssen. Die beiden Urteile des Landgerichts München II seien sodann zu Recht vorfrageweise anerkannt und für vollstreckbar erklärt worden. Insbesondere sei den Bescheinigungen gemäss Art. 54 LugÜ (SR 0.275.12) zu entnehmen, dass die verfahrenseinleitenden Schriftstücke dem Beschwerdeführer am 19. Januar 2016 zugestellt worden seien ( Art. 34 Ziff. 2 LugÜ ). Der Beschwerdeführer habe keinerlei Beweise eingereicht, die dies entkräften würden. Die Urteile seien damit definitive Rechtsöffnungstitel gemäss Art. 80 SchKG und der Beschwerdeführer habe keine Einwendungen nach Art. 81 SchKG vorgebracht.</w:t>
      </w:r>
    </w:p>
    <w:p>
      <w:r>
        <w:rPr>
          <w:b/>
        </w:rPr>
        <w:t>E. 4</w:t>
      </w:r>
    </w:p>
    <w:p>
      <w:r>
        <w:t>Vor Bundesgericht beruft sich der Beschwerdeführer wie bereits vor Kantonsgericht auf Art. 34 Abs. 2 LugÜ . Er geht jedoch mit keinem Wort darauf ein, dass ihm nach den kantonsgerichtlichen Erwägungen die verfahrenseinleitenden Schriftstücke zugestellt worden sind und er keine gegenteiligen Beweise eingereicht hat. Im Übrigen bestreitet er erneut sinngemäss den Bestand der Forderung, ohne darauf einzugehen, dass dies nicht Thema des Rechtsöffnungsverfahrens ist. Die Beschwerde enthält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