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5A_813/2017 vom 31. Mai 2018</w:t>
      </w:r>
    </w:p>
    <w:p>
      <w:r>
        <w:t>Bundesgericht, 2018-05-31, FR</w:t>
      </w:r>
    </w:p>
    <w:p>
      <w:r>
        <w:rPr>
          <w:b/>
        </w:rPr>
        <w:t xml:space="preserve">Quelle: </w:t>
      </w:r>
      <w:r>
        <w:t>https://mcp.opencaselaw.ch/entscheid/bger_5A_813_2017</w:t>
      </w:r>
    </w:p>
    <w:p>
      <w:r>
        <w:t>FR: TF 5A_813/2017 du 31 mai 2018</w:t>
      </w:r>
    </w:p>
    <w:p>
      <w:r>
        <w:t>IT: TF 5A_813/2017 del 31 maggio 2018</w:t>
      </w:r>
    </w:p>
    <w:p>
      <w:pPr>
        <w:pStyle w:val="Heading2"/>
      </w:pPr>
      <w:r>
        <w:t>Erwägungen</w:t>
      </w:r>
    </w:p>
    <w:p>
      <w:r>
        <w:rPr>
          <w:b/>
        </w:rPr>
        <w:t>E. 1</w:t>
      </w:r>
    </w:p>
    <w:p>
      <w:r>
        <w:t>Le Tribunal fédéral examine d'office la recevabilité des recours dont il est saisi ( ATF 143 III 140 consid. 1 et la jurisprudence citée).</w:t>
      </w:r>
    </w:p>
    <w:p>
      <w:r>
        <w:rPr>
          <w:b/>
        </w:rPr>
        <w:t>E. 1.1</w:t>
      </w:r>
    </w:p>
    <w:p>
      <w:r>
        <w:t>Le présent recours a été déposé dans le délai légal ( art. 100 al. 1 LTF ) à l'encontre d'une décision prise en matière civile ( art. 72 al. 1 LTF ) par un tribunal supérieur statuant sur recours ( art. 75 al. 1 et 2 LTF ). Le recourant, qui a succombé devant le juge précédent et possède un intérêt digne de protection à la modification de la décision attaquée, a qualité pour recourir ( art. 76 al. 1 LTF ).</w:t>
      </w:r>
    </w:p>
    <w:p>
      <w:r>
        <w:rPr>
          <w:b/>
        </w:rPr>
        <w:t>E. 1.2</w:t>
      </w:r>
    </w:p>
    <w:p>
      <w:r>
        <w:t>En l'occurrence, seules les questions de la contribution à l'entretien de l'épouse et de la provisio ad litem due à cette dernière sont litigieuses. Il apparaît que, sur le premier point, le Président a statué sur mesures provisionnelles et, sur le second point, sur mesures protectrices de l'union conjugale.</w:t>
      </w:r>
    </w:p>
    <w:p>
      <w:r>
        <w:t>S'agissant des mesures provisionnelles rendues dans le cadre d'une procédure de mesures protectrices de l'union conjugale (sur la possibilité d'ordonner de telles mesures, cf. arrêts 5A_870/2013 du 28 octobre 2014 consid. 5; 5A_212/2012 du 15 août 2012 consid. 2.2.2 [question laissée ouverte]), le Tribunal de céans a considéré que le refus d'en ordonner constituait une décision incidente au sens de l' art. 93 LTF (arrêt 5A_212/2012 précité consid. 1.1). Aucun motif ne justifie de qualifier différemment la décision prononçant des mesures provisionnelles dans le même cadre dès lors qu'en l'espèce, la Cour d'appel a clairement précisé que le montant fixé à titre de contribution à l'entretien de l'épouse constituait un acompte à valoir sur le montant des contributions d'entretien qui seraient ultérieurement fixées par ordonnance de mesures protectrices de l'union conjugale.</w:t>
      </w:r>
    </w:p>
    <w:p>
      <w:r>
        <w:t>Quant à la provisio ad litem, eu égard aux conclusions de l'intimée, il faut admettre qu'elle a manifestement été allouée pour la procédure de mesures protectrices de l'union conjugale dans son ensemble et non pour la seule procédure de mesures provisionnelles rendue dans ce cadre, de sorte qu'elle devrait en principe être qualifiée de finale (cf. arrêts 5D_83/2015 du 6 janvier 2016 consid. 1.2; 5D_48/2014 du 25 août 2014 consid. 2; 5A_247/2013 du 15 octobre 2013 consid. 1.3; 5D_30/2013 du 15 avril 2013 consid. 1). Compte tenu des circonstances particulières du cas d'espèce et du fait que l'autorité cantonale a statué dans une même décision tant à titre provisionnel que sur mesures protectrices de l'union conjugale, il y a lieu, au vu des seules questions encore litigieuses devant le Tribunal fédéral, de qualifier la décision attaquée de décision incidente dans son ensemble. Cette solution se justifie d'autant plus qu'en l'espèce, les griefs soulevés par le recourant s'agissant de l'allocation d'une provisio ad litem à l'intimée se recoupent en grande partie avec les critiques émises quant à la contribution d'entretien due à cette dernière, de sorte que ces deux décisions sont étroitement liées.</w:t>
      </w:r>
    </w:p>
    <w:p>
      <w:r>
        <w:t>Il convient cependant de préciser que le recourant pourra contester la fixation de la provisio ad litem dans le cadre d'un recours dirigé contre l'ordonnance de mesures protectrices de l'union conjugale à intervenir, ce quand bien même il ne serait pas revenu sur cette question dans ce dernier prononcé. La présente décision se rapproche en ce sens du cas traité dans l' ATF 143 III 416 . Dans cette procédure, le Tribunal de céans avait en effet dans un premier temps admis un recours dirigé contre une décision sur la compétence et renvoyé la cause, d'une part à l'autorité de première instance pour qu'elle entre en matière et traite la cause au fond et, d'autre part, à l'autorité de deuxième instance pour qu'elle fixe à nouveau les frais et dépens de la procédure cantonale (cf. arrêt 5A_633/2015). Le recours dirigé contre l'arrêt sur renvoi de l'autorité de deuxième instance, qui se limitait à fixer à nouveau les frais et dépens, a dans un deuxième temps été déclaré irrecevable par la Cour de céans dans l' ATF 143 III 416 au motif qu'il s'agissait d'une décision incidente au sens de l' art. 93 LTF et que, à défaut de l'existence d'un préjudice irréparable, la seule répartition des frais et dépens par l'autorité de deuxième instance devait être attaquée dans le cadre d'un recours dirigé contre la décision finale nonobstant le fait que l'autorité de première instance ne serait pas amenée à traiter de la question des frais et dépens de deuxième instance dans dite décision.</w:t>
      </w:r>
    </w:p>
    <w:p>
      <w:r>
        <w:t>Il suit de ce qui précède que, au regard des points encore litigieux devant le Tribunal fédéral, le présent recours est dirigé contre une décision incidente, laquelle n'est sujette à recours immédiat que si elle peut causer un préjudice irréparable au sens de l' art. 93 al. 1 let. a LTF (arrêts 5A_923/2016 du 4 avril 2017 consid. 1.1; 5A_274/2016 du 26 août 2016 consid. 1.1; 5A_152/2016 du 11 août 2016 consid. 1.1; 5A_641/2015 du 3 mars 2016 consid. 2.1 et les références) ou si l'admission du recours peut conduire immédiatement à une décision finale qui permet d'éviter une procédure probatoire longue et coûteuse ( art. 93 al. 1 let. b LTF ).</w:t>
      </w:r>
    </w:p>
    <w:p>
      <w:r>
        <w:t>Il est manifeste que les conditions cumulatives posées à l' art. 93 al. 1 let. b LTF ne sont pas remplies en l'espèce, de sorte qu'il convient uniquement d'examiner si le recours est recevable au regard de l' art. 93 al. 1 let. a LTF .</w:t>
      </w:r>
    </w:p>
    <w:p>
      <w:r>
        <w:rPr>
          <w:b/>
        </w:rPr>
        <w:t>E. 1.3</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w:t>
      </w:r>
    </w:p>
    <w:p>
      <w:r>
        <w:t>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1.4</w:t>
      </w:r>
    </w:p>
    <w:p>
      <w:r>
        <w:t>En l'espèce, seules les questions de la contribution d'entretien et de la provisio ad litem dues à l'épouse sont encore litigieuses. Or, le fait d'être exposé à un simple préjudice financier est, par principe, dépourvu de pertinence au regard de l' art. 93 al. 1 let. a LTF . Au surplus, le recourant n'établit pas qu'il subirait un " dommage définitif " ( ATF 134 IV 43 consid. 2.1). Il ne fait en effet pas valoir que les éventuels montants perçus en trop par l'intimée si les montants finalement alloués dans le cadre de la décision de mesures protectrices de l'union conjugale à intervenir devaient être inférieurs à ceux fixés dans l'ordonnance du 9 mai 2017 ne pourraient pas être ultérieurement recouvrés. Dans ces circonstances, force est d'admettre que le recourant n'est pas parvenu à démontrer que les mesures ordonnées lui causeraient un préjudice irréparable au sens de l' art. 93 al. 1 LTF , ce qui conduit à l'irrecevabilité du recours.</w:t>
      </w:r>
    </w:p>
    <w:p>
      <w:r>
        <w:rPr>
          <w:b/>
        </w:rPr>
        <w:t>E. 2</w:t>
      </w:r>
    </w:p>
    <w:p>
      <w:r>
        <w:t>En définitive, le recours doit être déclaré irrecevable faute de remplir les conditions de l' art. 93 al. 1 LTF . Les frais judiciaires, arrêtés à 3'000 fr., sont mis à la charge du recourant qui succombe ( art. 66 al. 1 LTF ). Il n'y a pas lieu d'allouer une indemnité de dépens à l'intimée dès lors qu'elle n'est plus représentée, que son premier mandataire s'est certes déterminé sur la requête d'effet suspensif mais a succombé sur ce point et que le second s'est contenté de conclure en une ligne au rejet des conclusions au fond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