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5A_80/2021 vom 4. Februar 2021</w:t>
      </w:r>
    </w:p>
    <w:p>
      <w:r>
        <w:t>Bundesgericht, 2021-02-04, FR</w:t>
      </w:r>
    </w:p>
    <w:p>
      <w:r>
        <w:rPr>
          <w:b/>
        </w:rPr>
        <w:t xml:space="preserve">Quelle: </w:t>
      </w:r>
      <w:r>
        <w:t>https://mcp.opencaselaw.ch/entscheid/bger_5A_80_2021</w:t>
      </w:r>
    </w:p>
    <w:p>
      <w:r>
        <w:t>FR: TF 5A_80/2021 du 4 février 2021</w:t>
      </w:r>
    </w:p>
    <w:p>
      <w:r>
        <w:t>IT: TF 5A_80/2021 del 4 febbraio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6 février 2020, l'État de Genève a fait notifier à A.________ un commandement de payer les sommes de 148'784 fr. 70 avec intérêts à 5% l'an dès le 25 septembre 2017 (n° 1: "</w:t>
      </w:r>
    </w:p>
    <w:p>
      <w:r>
        <w:t>bordereaux et sommations, ICC 2006 à 2008, 457.44.4020 R12.641.650 "), 32'617 fr. 50 (n° 2: intérêts calculés au 24 septembre 2017), 56'724 fr. 10 avec intérêts à 3% l'an dès le 25 septembre 2017 (n° 3: "</w:t>
      </w:r>
    </w:p>
    <w:p>
      <w:r>
        <w:t>bordereaux et sommations, IFD 2006 à 2008, 457.44.4020 R12.641.650 "), 9'681 fr. 85 (n° 4: intérêts calculés au 24 septembre 2017) et 1'379 fr. 20 (n° 5: "</w:t>
      </w:r>
    </w:p>
    <w:p>
      <w:r>
        <w:t>coût du procès-verbal de séquestre n° xx xxxxxx x "). Le poursuivi a formé opposition (</w:t>
      </w:r>
    </w:p>
    <w:p>
      <w:r>
        <w:t>poursuite n° yy yyyyyy y de l'Office des poursuites de Genève ).</w:t>
      </w:r>
    </w:p>
    <w:p>
      <w:r>
        <w:t>Statuant le 20 août 2020, le Tribunal de première instance du canton de Genève a levé définitivement l'opposition pour les postes nos 1, 2, 3 et 4 du commandement de payer (ch. 1), statué sur le sort des frais et dépens (ch. 2-5) et rejeté toutes autres conclusions (ch. 6).</w:t>
      </w:r>
    </w:p>
    <w:p>
      <w:r>
        <w:rPr>
          <w:b/>
        </w:rPr>
        <w:t>E. 1.2</w:t>
      </w:r>
    </w:p>
    <w:p>
      <w:r>
        <w:t>Par arrêt du 4 décembre 2020, la Chambre civile de la Cour de justice du canton de Genève a déclaré irrecevable le recours interjeté par le poursuivi contre cette décision.</w:t>
      </w:r>
    </w:p>
    <w:p>
      <w:r>
        <w:rPr>
          <w:b/>
        </w:rPr>
        <w:t>E. 2</w:t>
      </w:r>
    </w:p>
    <w:p>
      <w:r>
        <w:t>Par écriture expédiée le 29 janvier 2021, le poursuivi forme un recours en matière civile au Tribunal fédéral; il conclut à l'annulation de l'arrêt cantonal et au renvoi de l'affaire à la Cour de justice pour qu'elle annule la décision de mainlevée définitive de l'opposition.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 art. 72 al. 2 let. a LTF .</w:t>
      </w:r>
    </w:p>
    <w:p>
      <w:r>
        <w:rPr>
          <w:b/>
        </w:rPr>
        <w:t>E. 4.1</w:t>
      </w:r>
    </w:p>
    <w:p>
      <w:r>
        <w:t>En l'espèce, la cour cantonale a préalablement écarté les pièces nouvelles produites par le recourant ( art. 326 al. 1 CPC ). Elle a ensuite constaté que l'intéressé n'a pas allégué devant le premier juge l'irrégularité de la notification du procès-verbal de séquestre, ni même excipé de la prescription de la créance fiscale, dès lors qu'il s'est limité à faire valoir que la requête de mainlevée devait être rejetée pour le motif que le "</w:t>
      </w:r>
    </w:p>
    <w:p>
      <w:r>
        <w:t>séquestre n'était pas définitif ". Son grief est ainsi irrecevable pour deux motifs: d'une part, l'invocation de la prescription pour la première fois à l'appui du recours est tardive, car ce moyen ne concerne pas le "</w:t>
      </w:r>
    </w:p>
    <w:p>
      <w:r>
        <w:t>droit de taxer " - question que le juge de mainlevée revoit d'office -, mais le "</w:t>
      </w:r>
    </w:p>
    <w:p>
      <w:r>
        <w:t>droit de percevoir l'impôt "; d'autre part, il repose sur un allégué nouveau, à savoir la prétendue notification irrégulière du procès-verbal de séquestre de la poursuite en validation.</w:t>
      </w:r>
    </w:p>
    <w:p>
      <w:r>
        <w:t>Par surabondance, les juges précédents ont considéré que le recours eût été de toute manière rejeté. La requête de séquestre déposée par le poursuivi le 25 septembre 2017 a valablement interrompu le délai de prescription du droit de percevoir l'impôt, indépendamment de la date à laquelle le procès-verbal de séquestre a été notifié au débiteur.</w:t>
      </w:r>
    </w:p>
    <w:p>
      <w:r>
        <w:rPr>
          <w:b/>
        </w:rPr>
        <w:t>E. 4.2.1</w:t>
      </w:r>
    </w:p>
    <w:p>
      <w:r>
        <w:t>Il ne ressort pas de l'arrêt entrepris (art. 105 al 1 LTF; ATF 140 III 16 consid. 1.3.1;</w:t>
      </w:r>
    </w:p>
    <w:p>
      <w:r>
        <w:t>cf .</w:t>
      </w:r>
    </w:p>
    <w:p>
      <w:r>
        <w:t>supra , consid. 4.1) que le recourant a fait valoir devant l'autorité cantonale que les "</w:t>
      </w:r>
    </w:p>
    <w:p>
      <w:r>
        <w:t>bordereaux initiaux et sommations subséquentes " ne lui auraient pas été valablement notifiés, ni que le séquestre serait caduc ( art. 280 ch. 1 LP ) faute d'avoir été validé par la présente poursuite dans le délai de 10 jours de l' art. 279 al. 1 LP . Ces griefs s'avèrent dès lors irrecevables, faute d'épuisement des instances cantonales ( art. 75 al. 1 LTF ; ATF 145 III 42 consid. 2.2.2; 143 III 290 consid. 1.1 et les citations). Il est au demeurant contraire à la bonne foi de se prévaloir pour la première fois en instance fédérale des moyens pris de la prétendue irrégularité de la procédure de poursuite ( ATF 143 V 66 consid. 4.2, avec les références).</w:t>
      </w:r>
    </w:p>
    <w:p>
      <w:r>
        <w:rPr>
          <w:b/>
        </w:rPr>
        <w:t>E. 4.2.2</w:t>
      </w:r>
    </w:p>
    <w:p>
      <w:r>
        <w:t>Lorsque, comme dans le cas présent, le recours (cantonal) a été déclaré irrecevable, le recourant doit dûment exposer en quoi le motif d'irrecevabilité viole le droit, à l'exclusion du fond du litige ( ATF 135 II 145 consid. 3.1).</w:t>
      </w:r>
    </w:p>
    <w:p>
      <w:r>
        <w:t>En l'occurrence, le recourant affirme que la question de la prescription a été examinée par le premier juge, qu'il s'est opposé au séquestre qui a validé la présente poursuite et qu'on ne saurait faire abstraction des "</w:t>
      </w:r>
    </w:p>
    <w:p>
      <w:r>
        <w:t>arguments, faits et pièces " produits dans chacune de ces procédures, vu la "</w:t>
      </w:r>
    </w:p>
    <w:p>
      <w:r>
        <w:t>connexité " des procédures de mainlevée et de séquestre. Une telle argumentation ne comporte cependant aucune réfutation du motif d'irrecevabilité retenu par l'autorité cantonale, à savoir que l'invocation de la prescription se rapporte au "</w:t>
      </w:r>
    </w:p>
    <w:p>
      <w:r>
        <w:t>droit de percevoir l'impôt ", exception qui - contrairement au "</w:t>
      </w:r>
    </w:p>
    <w:p>
      <w:r>
        <w:t>droit de taxer " - ne peut être soulevée pour la première fois en instance de recours. Faute de motivation conforme à l' art. 42 al. 2 LTF , le moyen est irrecevable ( ATF 140 III 86 consid. 2 et la jurisprudence citée). Pour le surplus, le renvoi au recours cantonal du 9 septembre 2020 et à l'écriture spontanée du 12 octobre 2020 ne peut être pris en compte, car l'argumentation du recourant doit figurer dans le mémoire de recours lui-même ( ATF 144 V 173 consid. 3.2.2 et les citations).</w:t>
      </w:r>
    </w:p>
    <w:p>
      <w:r>
        <w:rPr>
          <w:b/>
        </w:rPr>
        <w:t>E. 4.2.3</w:t>
      </w:r>
    </w:p>
    <w:p>
      <w:r>
        <w:t>En instance de recours, le recourant a requis la suspension de la procédure de mainlevée, en vertu de l' art. 126 CPC , jusqu'à droit connu "</w:t>
      </w:r>
    </w:p>
    <w:p>
      <w:r>
        <w:t>sur la validité du séquestre "; il reproche à la cour cantonale de ne pas avoir statué sur cette requête.</w:t>
      </w:r>
    </w:p>
    <w:p>
      <w:r>
        <w:t>D'après la jurisprudence, la suspension d'une procédure porte sur des mesures provisionnelles au sens de l' art. 98 LTF (arrêt 5A_49/2020 du 6 mai 2020 consid. 3 et les arrêts cités); or, le mémoire de recours ne contient aucun grief de nature constitutionnelle, motivé conformément à l' art. 106 al. 2 LTF ( ATF 135 III 232 consid. 1.2).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aet b LTF), avec suite de frais à la charge du recourant ( art. 66 al. 1 LTF ).</w:t>
      </w:r>
    </w:p>
    <w:p>
      <w:r>
        <w:t>Le présent arrêt rend sans objet la requête d'effet suspensif présentée par le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