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5A_80/2019 vom 31. Januar 2019</w:t>
      </w:r>
    </w:p>
    <w:p>
      <w:r>
        <w:t>Bundesgericht, 2019-01-31, FR</w:t>
      </w:r>
    </w:p>
    <w:p>
      <w:r>
        <w:rPr>
          <w:b/>
        </w:rPr>
        <w:t xml:space="preserve">Quelle: </w:t>
      </w:r>
      <w:r>
        <w:t>https://mcp.opencaselaw.ch/entscheid/bger_5A_80_2019</w:t>
      </w:r>
    </w:p>
    <w:p>
      <w:r>
        <w:t>FR: TF 5A_80/2019 du 31 janvier 2019</w:t>
      </w:r>
    </w:p>
    <w:p>
      <w:r>
        <w:t>IT: TF 5A_80/2019 del 31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17 août 2017, B.________ a saisi le Juge de paix du district de La Riviera - Pays-d'Enhaut d'une requête dirigée à l'encontre de A.________ tendant, préalablement, à l'exequatur d'un jugement rendu le 12 décembre 2013 par le Tribunal de commerce de Dijon (I) et au séquestre de la "</w:t>
      </w:r>
    </w:p>
    <w:p>
      <w:r>
        <w:t>part de propriété commune société simple " du débiteur sur un immeuble (II), ainsi que de la "</w:t>
      </w:r>
    </w:p>
    <w:p>
      <w:r>
        <w:t>part de liquidation de la société simple " que l'intéressé forme avec son épouse (III).</w:t>
      </w:r>
    </w:p>
    <w:p>
      <w:r>
        <w:t>Statuant le 18 août 2017, le juge de paix a ordonné, en application de l' art. 271 al. 1 ch. 6 LP , le séquestre du "</w:t>
      </w:r>
    </w:p>
    <w:p>
      <w:r>
        <w:t>produit revenant au débiteur dans la liquidation de la société simple qu'il forme avec son épouse (...) pour détenir la propriété commune " d'une parcelle sise à U.________.</w:t>
      </w:r>
    </w:p>
    <w:p>
      <w:r>
        <w:rPr>
          <w:b/>
        </w:rPr>
        <w:t>E. 2</w:t>
      </w:r>
    </w:p>
    <w:p>
      <w:r>
        <w:t>Par prononcé du 24 avril 2018, le juge de paix a rejeté l'opposition au séquestre formée le 30 août 2017 par le débiteur. Sur recours de ce dernier, la Cour des poursuites et faillites du Tribunal cantonal vaudois a confirmé cette décision le 3 décembre suivant; en bref, elle a retenu que la requérante avait rendu vraisemblable l'existence d'un jugement étranger exécutoire en Suisse ( art. 271 al. 1 ch. 6 LP ).</w:t>
      </w:r>
    </w:p>
    <w:p>
      <w:r>
        <w:rPr>
          <w:b/>
        </w:rPr>
        <w:t>E. 3</w:t>
      </w:r>
    </w:p>
    <w:p>
      <w:r>
        <w:t>Par mémoire expédié le 28 janvier 2019, le débiteur séquestré exerce un recours en matière civile au Tribunal fédéral contre l'arrêt de la cour cantonale; il sollicite l'octroi de l'effet suspensif.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Aux termes de l' art. 100 al. 1 LTF , le recours contre une décision doit être déposé dans les 30 jours qui suivent la notification de l'expédition complète, intervenue en l'espèce le</w:t>
      </w:r>
    </w:p>
    <w:p>
      <w:r>
        <w:t>13 décembre 2018 .</w:t>
      </w:r>
    </w:p>
    <w:p>
      <w:r>
        <w:t>De jurisprudence constante, la décision prise par l'autorité cantonale sur l'opposition au séquestre ( art. 278 al. 3 LP ) porte sur des mesures provisionnelles au sens de l' art. 98 LTF ( ATF 135 III 232 consid. 1.2; récemment: arrêt 5A_953/2018 du 3 décembre 2018 consid. 4 et les références; Corboz,</w:t>
      </w:r>
    </w:p>
    <w:p>
      <w:r>
        <w:t>in : Commentaire de la LTF, 2e éd., 2014, n° 11 ad art. 98 LTF ); quoi qu'en dise le recourant, le délai de recours n'est dès lors pas suspendu en vertu de l' art. 46 al. 1 let . c LTF ( art. 46 al. 2 LTF ; ATF 134 III 667 consid. 1.3, avec la jurisprudence citée). Mis à la poste le</w:t>
      </w:r>
    </w:p>
    <w:p>
      <w:r>
        <w:t>28 janvier 2019 , le recours s'avère ainsi largement tardif.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a LTF ), avec suite de frais à la charge du recourant ( art. 66 al. 1 LTF ).</w:t>
      </w:r>
    </w:p>
    <w:p>
      <w:r>
        <w:t>Le présent arrêt rend sans objet la requête d'effet suspensif présentée par le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