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5A_807/2022 vom 20. Oktober 2022</w:t>
      </w:r>
    </w:p>
    <w:p>
      <w:r>
        <w:t>Bundesgericht, 2022-10-20, DE</w:t>
      </w:r>
    </w:p>
    <w:p>
      <w:r>
        <w:rPr>
          <w:b/>
        </w:rPr>
        <w:t xml:space="preserve">Quelle: </w:t>
      </w:r>
      <w:r>
        <w:t>https://mcp.opencaselaw.ch/entscheid/bger_5A_807_2022</w:t>
      </w:r>
    </w:p>
    <w:p>
      <w:r>
        <w:t>FR: TF 5A_807/2022 du 20 octobre 2022</w:t>
      </w:r>
    </w:p>
    <w:p>
      <w:r>
        <w:t>IT: TF 5A_807/2022 del 20 ottobre 2022</w:t>
      </w:r>
    </w:p>
    <w:p>
      <w:pPr>
        <w:pStyle w:val="Heading2"/>
      </w:pPr>
      <w:r>
        <w:t>Erwägungen</w:t>
      </w:r>
    </w:p>
    <w:p>
      <w:r>
        <w:rPr>
          <w:b/>
        </w:rPr>
        <w:t>E. 1</w:t>
      </w:r>
    </w:p>
    <w:p>
      <w:r>
        <w:t>Der Beschwerdeführer beschränkt sich auf allgemeine Feststellungsbegehren statt reformatorische Begehren in der Sache selbst zu stellen ( Art. 42 Abs. 1 und Art. 107 Abs. 2 BGG ), welche sich im Übrigen primär auf das obergerichtliche Nichteintreten zu beziehen hätten. Bereits daran scheitert die Beschwerde.</w:t>
      </w:r>
    </w:p>
    <w:p>
      <w:r>
        <w:rPr>
          <w:b/>
        </w:rPr>
        <w:t>E. 2</w:t>
      </w:r>
    </w:p>
    <w:p>
      <w:r>
        <w:t>Im Übrigen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weitschweifigen und teilweise polemischen Ausführungen in der Beschwerde gehen am Anfechtungsgegenstand (Frage der veränderten Verhältnisse) vorbei und sind im Übrigen allgemeiner Natur, indem zusammengefasst geltend gemacht wird, er (Vater) und das Kind würden in Verletzung verschiedener (näher bezeichneter) Normen der BV, der EMRK und des UNO-Paktes II gefoltert, unmenschlich behandelt und nicht angehört; dem Kind würden Betäubungsmittel verabreicht, was eine Körperverletzung darstelle, und dessen psychische Auffälligkeiten seien allein auf die Mutter zurückzuführen, da es mit ihm ja keinen Kontakt haben dürfe, und es komme nunmehr in ein Alter, wo es selbstbestimmt wählen dürfe, bei welchem Elternteil es wohnen wolle.</w:t>
      </w:r>
    </w:p>
    <w:p>
      <w:r>
        <w:t>Eine nachvollziehbare Darlegung, inwiefern der angefochtene Entscheid gegen Recht verstossen könnte, lässt sich bei diesen Ausführungen nicht ausmachen.</w:t>
      </w:r>
    </w:p>
    <w:p>
      <w:r>
        <w:rPr>
          <w:b/>
        </w:rPr>
        <w:t>E. 4</w:t>
      </w:r>
    </w:p>
    <w:p>
      <w:r>
        <w:t>Nach dem Gesagten erweist sich die Beschwerde - abgesehen von den ungenügenden Rechtsbegehren -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