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807/2015 vom 7. März 2016</w:t>
      </w:r>
    </w:p>
    <w:p>
      <w:r>
        <w:t>Bundesgericht, 2016-03-07, FR</w:t>
      </w:r>
    </w:p>
    <w:p>
      <w:r>
        <w:rPr>
          <w:b/>
        </w:rPr>
        <w:t xml:space="preserve">Quelle: </w:t>
      </w:r>
      <w:r>
        <w:t>https://mcp.opencaselaw.ch/entscheid/bger_5A_807_2015</w:t>
      </w:r>
    </w:p>
    <w:p>
      <w:r>
        <w:t>FR: TF 5A 807/2015 du 7 mars 2016</w:t>
      </w:r>
    </w:p>
    <w:p>
      <w:r>
        <w:t>IT: TF 5A 807/2015 del 7 marzo 2016</w:t>
      </w:r>
    </w:p>
    <w:p>
      <w:pPr>
        <w:pStyle w:val="Heading2"/>
      </w:pPr>
      <w:r>
        <w:t>Regeste</w:t>
      </w:r>
    </w:p>
    <w:p>
      <w:r>
        <w:t>mesures protectrices de l'union conjugale | Droit de la famille</w:t>
      </w:r>
    </w:p>
    <w:p>
      <w:pPr>
        <w:pStyle w:val="Heading2"/>
      </w:pPr>
      <w:r>
        <w:t>Erwägungen</w:t>
      </w:r>
    </w:p>
    <w:p>
      <w:r>
        <w:rPr>
          <w:b/>
        </w:rPr>
        <w:t>E. 1.1</w:t>
      </w:r>
    </w:p>
    <w:p>
      <w:r>
        <w:t>Le présent recours a été interjeté en temps utile ( art. 100 al. 1 LTF ) et dans la forme légale ( art. 42 LTF ), contre une décision finale ( art. 90 LTF ; ATF 134 III 426 consid. 2.2; 133 III 393 consid. 4) prise en matière civile ( art. 72 al. 1 LTF ) par l'autorité supérieure du canton statuant en dernière instance et sur recours ( art. 75 al. 1 et 2 LTF ). Le litige porte sur une affaire pécuniaire dont la valeur litigieuse requise est atteinte (art. 51 al. 1 et 4, 74 al. 1 let. b LTF). Le recourant a en outre qualité pour recourir ( art. 76 al. 1 let. a et b LTF ).</w:t>
      </w:r>
    </w:p>
    <w:p>
      <w:r>
        <w:rPr>
          <w:b/>
        </w:rPr>
        <w:t>E. 1.2</w:t>
      </w:r>
    </w:p>
    <w:p>
      <w:r>
        <w:t>Les conclusions du recourant tendant au versement, par l'intimée, de contributions à son entretien et à celui de ses enfants sont irrecevables, faute de toute motivation ( art. 42 LTF ).</w:t>
      </w:r>
    </w:p>
    <w:p>
      <w:r>
        <w:rPr>
          <w:b/>
        </w:rPr>
        <w:t>E. 1.3</w:t>
      </w:r>
    </w:p>
    <w:p>
      <w:r>
        <w:t>Des mesures probatoires devant le Tribunal fédéral ne sont qu'exceptionnellement ordonnées dans une procédure de recours ( ATF 136 II 101 consid. 2), dès lors que le Tribunal fédéral conduit en principe son raisonnement juridique sur la base des faits établis par l'autorité précédente (cf. infra consid. 1.5). Le recourant requiert l'audition d'un témoin et, plus généralement, d'être acheminé à prouver les allégués de son recours. Il ne sera pas donné suite à ces requêtes en l'absence d'élément dont on puisse inférer des circonstances exceptionnelles justifiant une mesure d'instruction devant la cour de céans, circonstances dont le recourant ne démontre par ailleurs nullement l'existence. Ses conclusions à cet égard sont par conséquent irrecevables.</w:t>
      </w:r>
    </w:p>
    <w:p>
      <w:r>
        <w:rPr>
          <w:b/>
        </w:rPr>
        <w:t>E. 1.4</w:t>
      </w:r>
    </w:p>
    <w:p>
      <w:r>
        <w:t>Comme la décision attaquée porte sur des mesures protectrices de l'union conjugale (art. 172 à 179 CC), lesquelles sont considérées comme des mesures provisionnelles au sens de l' art. 98 LTF ( ATF 133 III 393 consid. 5.1, 585 consid. 3.3),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139 I 22 consid. 2.2; 137 III 580 consid. 1.3; 135 III 232 consid. 1.2;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arrêts cités).</w:t>
      </w:r>
    </w:p>
    <w:p>
      <w:r>
        <w:rPr>
          <w:b/>
        </w:rPr>
        <w:t>E. 1.5</w:t>
      </w:r>
    </w:p>
    <w:p>
      <w:r>
        <w:t>Le Tribunal fédéral statue sur la base des faits établis par l'autorité précédente ( art. 105 al. 1 LTF ). Dans l'hypothèse d'un recours soumis à l' art. 98 LTF , une rectification ou un complètement de l'état de fait n'entre en considération que si l'autorité précédente a violé des droits constitutionnels, les art. 95, 97 et 105 al. 2 LTF ne s'appliquant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Le Tribunal fédéral se montre réservé en matière de constatation des faits et d'appréciation des preuves, vu le large pouvoir qu'il reconnaît dans ce domaine aux autorités cantonales ( ATF 120 Ia 31 consid. 4b; 104 Ia 381 consid. 9 et les arrêts cités).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140 III 264 consid. 2.3; 137 I 58 consid. 4.1.2; 137 III 226 consid. 4.2). Cette retenue est d'autant plus grande lorsque, comme ici, le juge n'examine la cause que d'une manière sommaire et provisoire ( ATF 130 III 321 consid. 3.3).</w:t>
      </w:r>
    </w:p>
    <w:p>
      <w:r>
        <w:rPr>
          <w:b/>
        </w:rPr>
        <w:t>E. 2</w:t>
      </w:r>
    </w:p>
    <w:p>
      <w:r>
        <w:t>Le recourant soutient que l'autorité cantonale a violé son droit d'être entendu et arbitrairement apprécié les charges incompressibles de l'intimée en refusant de donner suite à sa requête d'audition de E.________, qui vivrait en ménage commun avec elle depuis le mois de février 2013 et partagerait ainsi assurément les frais fixes de celle-ci.</w:t>
      </w:r>
    </w:p>
    <w:p>
      <w:r>
        <w:rPr>
          <w:b/>
        </w:rPr>
        <w:t>E. 2.1</w:t>
      </w:r>
    </w:p>
    <w:p>
      <w:r>
        <w:t>Lorsque le recourant soutient que les faits ont été constatés de façon manifestement inexacte, il doit rendre vraisemblable que la décision attaquée aurait été différente si les faits avaient été établis de manière conforme au droit (art. 97 al. 1 in fine LTF; ATF 134 V 53 consid. 3.4); cette exigence vaut également lorsqu'il se plaint d'une violation de son droit d'être entendu en relation avec l'établissement des faits ( ATF 137 II 122 consid. 3.7; arrêts 1C_268/2015 du 9 février 2016 consid. 3.2; 5A_270/2012 du 24 septembre 2012 consid. 6; 5A_634/2010 du 7 janvier 2011 consid. 4.2; 9C_1001/2009 du 15 avril 2010 consid. 3.2; 8C_224/2009 du 27 juillet 2009 consid. 3.3.2). En l'espèce, le recourant n'expose pas clairement en quoi le fait de retenir, dans les charges de l'intimée, la totalité de ses frais incompressibles et non la moitié, serait susceptible d'influer sur le sort de la cause. La question peut toutefois rester indécise, le grief devant de toute manière être rejeté pour le motif suivant.</w:t>
      </w:r>
    </w:p>
    <w:p>
      <w:r>
        <w:rPr>
          <w:b/>
        </w:rPr>
        <w:t>E. 2.2</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60 consid. 3.3, 285 consid. 6.3.1; 139 II 489 consid. 3.3).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140 I 285 consid. 6.3; 138 III 374 consid. 4.3.2; 136 I 229 consid. 5.3; 134 I 140 consid. 5.3). Il n'en va pas différemment lorsque, comme ici (art. 55 al. 2, 272 et 296 al. 1 CPC), le procès est soumis à la maxime inquisitoire ( ATF 130 III 734 consid. 2.2.3 et les arrêts cités). Les mesures protectrices de l'union conjugale sont ordonnées à la suite d'une procédure sommaire avec administration restreinte des moyens de preuve et limitation du degré de la preuve à la simple vraisemblance. Il n'y a pas de violation du droit à la preuve ( art. 29 al. 2 Cst. ) lorsque le juge parvient à se former une conviction de la vraisemblance des faits en se fondant sur les preuves administrées (arrêts 5A_882/2015 du 25 novembre 2015 consid. 6.1; 5A_265/2015 du 22 septembre 2015 consid. 2.2.2; 5A_661/2011 du 10 février 2012 consid. 2.3).</w:t>
      </w:r>
    </w:p>
    <w:p>
      <w:r>
        <w:rPr>
          <w:b/>
        </w:rPr>
        <w:t>E. 2.3</w:t>
      </w:r>
    </w:p>
    <w:p>
      <w:r>
        <w:t>En l'occurrence, l'autorité cantonale a renoncé à citer E.________ comme témoin pour les motifs suivants. Considérant que le premier juge avait à juste titre nié toute communauté de vie stable entre lui et l'épouse en se référant aux inscriptions auprès de l'Office cantonal de la population et aux dénégations de l'intéressée, les juges précédents ont en outre estimé qu'aucun élément ne rendait vraisemblable qu'il contribuât aux charges fixes de celle-ci, le fait qu'il entretiendrait une relation stable avec elle n'impliquant pas une telle conclusion. Il s'imposait également de renoncer à citer ce témoin au regard des liens allégués entre lui et l'épouse. Il appert ainsi que l'autorité cantonale a procédé à une appréciation anticipée des preuves pour refuser l'audition requise, procédé qui ne viole pas le droit d'être entendu (cf. supra consid. 2.2). Or, le recourant n'établit pas que cette appréciation serait insoutenable (cf. sur cette forme d'arbitraire: ATF 136 III 552 consid. 4.2 et les arrêts cités). Il se borne à soutenir, en substance, qu'il n'a cessé d'alléguer, depuis le début de la procédure, que l'intimée vivait en ménage commun avec son compagnon, que le domicile légal de ce dernier était fictif et qu'il partageait par conséquent les dépenses courantes de l'intimée. En outre, cette audition avait été sollicitée à tous les stades de la procédure, tant en première instance qu'en appel. Le refus de l'autorité cantonale serait donc contraire à la loi, le solde disponible des parties ayant des répercussions évidentes sur la contribution à l'entretien des enfants et sur la perception des allocations familiales. L'autorité judiciaire aurait par ailleurs disposé de suffisamment de temps pour procéder à l'audition requise. Selon le recourant, la cour cantonale aurait ainsi fait preuve d'arbitraire en refusant sans droit l'audition de ce témoin. Partant, elle aurait retenu de manière insoutenable que les charges mensuelles incompressibles de l'intimée s'élevaient à 3'690 fr. au lieu de 2'204 fr. seulement, alors même que l'existence d'une "communauté de toit et de table" entre elle et son compagnon avait été continuellement alléguée et, de surcroît, démontrée par pièces. S'il paraît justifié, lorsque l'époux créancier vit en ménage commun, de prendre en considération, dans le cadre de mesures provisionnelles, non seulement un concubinage qualifié ou stable ("communauté de toit, de table et de lit"; ATF 138 III 97 consid. 2.3.3), mais aussi un soutien économique momentané par le nouveau partenaire ou, à tout le moins, l'avantage économique découlant d'une (simple) communauté domestique ("communauté de toit et de table"), encore faut-il que les circonstances dans lesquelles vivent les intéressés, entraînant des économies pour chacun d'eux, soient établies ( ATF 138 III 97 consid. 2.3.1-2.3.3 et les références; arrêts 5A_593/2013 du 20 décembre 2013 consid. 3.3.2; 5A_833/2012 du 30 mai 2013 consid. 3.3.1). Par son argumentation, essentiellement appellatoire ( art. 106 al. 2 LTF ), le recourant ne démontre pas que l'appréciation des preuves à laquelle s'est livrée l'autorité cantonale serait à cet égard arbitraire (cf. supra consid. 1.5). En effet, il n'établit pas qu'il était insoutenable de retenir, à l'instar du premier juge, en se référant aux inscriptions auprès de l'Office cantonal de la population et indépendamment des allégués des parties, qu'il n'existait pas de communauté de vie stable entre les intéressés, ni que rien ne rendait vraisemblable une participation de E.________ aux charges fixes de l'intimée. Au demeurant, il ne suffit pas que les motifs de la décision attaquée soient insoutenables; encore faut-il qu'elle soit arbitraire dans son résultat ( ATF 139 III 334 consid. 3.2.5; 138 I 305 consid. 4.4; 138 III 378 consid. 6.1; 137 I 1 consid. 2.6). Les griefs de violation du droit d'être entendu et d'arbitraire soulevés en relation avec l'appréciation des preuves et l'établissement des faits doivent donc être rejetés, en tant que recevables.</w:t>
      </w:r>
    </w:p>
    <w:p>
      <w:r>
        <w:rPr>
          <w:b/>
        </w:rPr>
        <w:t>E. 3</w:t>
      </w:r>
    </w:p>
    <w:p>
      <w:r>
        <w:t>Dans un second moyen, le recourant reproche à l'autorité cantonale d'avoir arbitrairement jugé que les allocations familiales devaient bénéficier pour moitié à chacune des parties, vu la garde partagée, sans tenir compte du fait que, depuis la séparation des parties, il assume l'intégralité des frais liés aux enfants.</w:t>
      </w:r>
    </w:p>
    <w:p>
      <w:r>
        <w:rPr>
          <w:b/>
        </w:rPr>
        <w:t>E. 3.1</w:t>
      </w:r>
    </w:p>
    <w:p>
      <w:r>
        <w:t>Le recourant n'a pas expressément pris de conclusions s'agissant du partage des allocations familiales entre les parties. En plus de requérir l'annulation de la décision attaquée, il a toutefois conclu à ce qu'en toutes hypothèses, les contributions qu'il a versées en mains de l'intimée depuis la séparation soient portées en déduction de toute somme théoriquement due par lui. Il résulte en outre de son écriture qu'il fait grief à l'autorité cantonale de l'avoir condamné au paiement rétroactif d'une somme de 3'600 fr. à titre d'arriérés d'allocations familiales pour la période de février 2013 à janvier 2014, ainsi qu'au versement de la moitié des allocations familiales perçues dès février 2014. Malgré l'absence de conclusions formelles en ce sens, il y a donc lieu de considérer qu'il ressort de la motivation du recours qu'il requiert de pouvoir conserver l'intégralité des allocations familiales. Afin de parer à tout formalisme excessif, il se justifie par conséquent d'examiner cette question.</w:t>
      </w:r>
    </w:p>
    <w:p>
      <w:r>
        <w:rPr>
          <w:b/>
        </w:rPr>
        <w:t>E. 3.2</w:t>
      </w:r>
    </w:p>
    <w:p>
      <w:r>
        <w:t>En ce qui concerne le coût d'entretien des enfants, l'arrêt attaqué retient qu'après déduction des allocations familiales de 300 fr. par mois, les charges mensuelles du fils aîné s'élèvent à 490 fr. 40 et celles du fils cadet à 290 fr. 40. Compte tenu de l'ensemble des circonstances, soit en particulier de la prise en charge un peu plus importante des enfants par leur mère durant la période scolaire et du solde mensuel plus important dont disposait le père (soit environ 2'750 fr. par mois pour lui contre 2'325 fr. pour la mère), l'autorité cantonale a confirmé le chiffre 6 du dispositif du jugement de première instance qui condamnait le père à payer, dès le 1er février 2015, la part des primes d'assurance-maladie (LAMal et LCA) non prises en charge par son employeur, les frais médicaux non remboursés, les frais extra-scolaires (école de football et camp d'été), les frais parascolaires (prise en charge à midi et le soir deux fois par semaine), les frais des cuisines scolaires (deux fois par semaine), les frais de transport (abonnement TPG) ainsi que les primes d'assurance-vie, précisant toutefois que lesdites primes ne comprenaient pas celles relatives au contrat d'assurance-vie conclu par l'épouse. Par ailleurs, destinées à l'entretien des enfants, les allocations familiales devaient revenir pour moitié à chacune des parties, vu la garde partagée. Il y avait donc lieu de condamner le mari à verser à l'épouse la moitié des prestations perçues par lui à ce titre de février 2013 à janvier 2014 (soit: 7'200 fr. : 2 = 3'600 fr.).</w:t>
      </w:r>
    </w:p>
    <w:p>
      <w:r>
        <w:rPr>
          <w:b/>
        </w:rPr>
        <w:t>E. 3.3</w:t>
      </w:r>
    </w:p>
    <w:p>
      <w:r>
        <w:t>Le recourant ne conteste pas que la garde partagée puisse conduire en soi à un partage des allocations familiales. Il ne critique pas non plus et, par conséquent, ne démontre pas, que le raisonnement de l'autorité cantonale selon lequel, compte tenu des circonstances, certains frais fixes pouvaient être mis à sa charge, chacun des parents assumant l'entretien courant des enfants lorsqu'ils en avaient la garde, aboutirait à un partage arbitraire des ressources pour une période relativement longue. Par ailleurs, en tant qu'il prétend qu'il aurait assumé des frais supplémentaires par rapport à ceux qui lui incombaient, il se fonde sur des faits qui ne résultent pas de l'arrêt attaqué, sans toutefois démontrer d'arbitraire à ce sujet ( art. 106 al. 2 LTF ); partant, ses allégations ne peuvent être prises en considération ( art. 99 al. 1 LTF ). De toute manière, et pour le surplus, le recourant perd de vue que, dans la mesure où il s'agirait d'imputer sur ce qu'il doit pour l'entretien des enfants les sommes déjà versées à ce titre, seules pourraient être déduites les charges qui ont été prises en compte dans la détermination de dite obligation, à l'exclusion des versements qui excèdent l'entretien défini dans ce cadre (cf. arrêt 5A_810/2012 du 22 mars 2013 consid. 3.2). Dès lors, il importe peu qu'il ait, comme il le prétend - sans du reste l'établir -, assumé certains frais devant être supportés par l'intimée. Pour autant qu'il soit suffisamment motivé ( art. 106 al. 2 LTF ; cf. supra consid. 1.4), le grief est ainsi infondé.</w:t>
      </w:r>
    </w:p>
    <w:p>
      <w:r>
        <w:rPr>
          <w:b/>
        </w:rPr>
        <w:t>E. 4</w:t>
      </w:r>
    </w:p>
    <w:p>
      <w:r>
        <w:t>En conclusion, le recours se révèle mal fondé et ne peut dès lors qu'être rejeté, dans la mesure où il est recevable. Le recourant, qui succombe, supportera par conséquent les frais judiciaires ( art. 66 al. 1 LTF ). Il n'y a pas lieu d'allouer de dépens à l'intimée, qui n'est pas représentée par un avocat (cf. ATF 133 III 439 consid. 4) et a conclu au rejet de l'effet suspensif - alors que celui-ci a été partiellement accordé - sans être invitée à répondre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