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5A_806/2009 vom 26. April 2010</w:t>
      </w:r>
    </w:p>
    <w:p>
      <w:r>
        <w:t>Bundesgericht, 2010-04-26, FR</w:t>
      </w:r>
    </w:p>
    <w:p>
      <w:r>
        <w:rPr>
          <w:b/>
        </w:rPr>
        <w:t xml:space="preserve">Quelle: </w:t>
      </w:r>
      <w:r>
        <w:t>https://mcp.opencaselaw.ch/entscheid/bger_5A_806_2009</w:t>
      </w:r>
    </w:p>
    <w:p>
      <w:r>
        <w:t>FR: TF 5A_806/2009 du 26 avril 2010</w:t>
      </w:r>
    </w:p>
    <w:p>
      <w:r>
        <w:t>IT: TF 5A_806/2009 del 26 aprile 2010</w:t>
      </w:r>
    </w:p>
    <w:p>
      <w:pPr>
        <w:pStyle w:val="Heading2"/>
      </w:pPr>
      <w:r>
        <w:t>Erwägungen</w:t>
      </w:r>
    </w:p>
    <w:p>
      <w:r>
        <w:rPr>
          <w:b/>
        </w:rPr>
        <w:t>E. 1</w:t>
      </w:r>
    </w:p>
    <w:p>
      <w:r>
        <w:t>La décision attaquée est une décision finale ( art. 90 LTF ) rendue par l'autorité de surveillance d'un représentant successoral (art. 72 al. 2 let. b ch. 5 LTF par une autorité cantonale de dernière instance ( art. 75 LTF ), dans une affaire non pécuniaire ( art. 74 al. 1 let. b LTF ). La recourante a qualité pour recourir, car elle a pris part à la procédure devant l'autorité cantonale et a un intérêt juridique à la modification de la décision attaquée ( art. 76 al. 1 LTF ).</w:t>
      </w:r>
    </w:p>
    <w:p>
      <w:r>
        <w:rPr>
          <w:b/>
        </w:rPr>
        <w:t>E. 2</w:t>
      </w:r>
    </w:p>
    <w:p>
      <w:r>
        <w:t>La Cour de justice a annulé la décision de la Justice de paix sur la base d'une double motivation. Dans la première, elle a estimé que, contrairement à ce que prétendait l'office des faillites, les héritiers n'étaient pas parvenus à un accord sur un partage partiel, portant sur les liquidités de la succession. Dans la seconde motivation, elle a observé que le litige impliquait la résolution de questions de droit matériel relatives aux effets de la substitution fidéicommissaire en ce qui concerne le passif de la succession de feu E.________. La recourante prétend en effet qu'en raison de la substitution fidéicommissaire, les dettes de la succession de feu E.________ doivent être réglées et les intimés ne pourront revendiquer qu'ensuite le solde éventuellement disponible. De leur côté, les intimés sont d'avis qu'ils ne sont pas tenus de ces dettes sur le patrimoine qui leur échoit en vertu de la substitution fidéicommissaire. Les juges cantonaux ont considéré que, dès lors que des questions de droit matériel devaient être résolues, le litige relevait du juge civil et non de l'autorité de surveillance qui avait outrepassé ses compétences.</w:t>
      </w:r>
    </w:p>
    <w:p>
      <w:r>
        <w:t>Se conformant à l'exigence de recevabilité posée par la jurisprudence ( ATF 133 IV 119 consid. 6.3), la recourante a attaqué chacune de ces deux motivations alternatives. Elle fait valoir d'une part que les héritiers étaient parvenus à un accord partiel sur le partage et, d'autre part, elle conteste l'existence de problèmes de droit matériel qui ressortiraient à la compétence du juge civil.</w:t>
      </w:r>
    </w:p>
    <w:p>
      <w:r>
        <w:rPr>
          <w:b/>
        </w:rPr>
        <w:t>E. 3</w:t>
      </w:r>
    </w:p>
    <w:p>
      <w:r>
        <w:t>La recourante estime que la Justice de paix était compétente pour prendre la décision querellée. Selon elle, les questions de droit matériel ont surgi uniquement parce que les intimés sont revenus sur l'accord du 11 octobre 2007 pour s'opposer à la demande de l'Office des faillites.</w:t>
      </w:r>
    </w:p>
    <w:p>
      <w:r>
        <w:rPr>
          <w:b/>
        </w:rPr>
        <w:t>E. 3.1</w:t>
      </w:r>
    </w:p>
    <w:p>
      <w:r>
        <w:t>L'autorité de surveillance du représentant de la communauté héréditaire peut, sur requête du représentant lui-même, donner à celui-ci des instructions ou ordonner des mesures (PAUL PIOTET, Droit successoral, Traité de droit privé suisse, IV, 1975, p. 141 et 595; CAROLINE SCHULER-BUCHE, L'exécuteur testamentaire, l'administrateur officiel et le liquidateur officiel, 2003, p. 131; Peter C. Schaufelberger, Commentaire bâlois, 3ème éd., n. 52 ad art. 602 CC ; JEAN-NICOLAS DRUEY, Grundriss des Erbrechts, 5ème éd., 2002, § 14 n. 46 et 49). Les instructions ou mesures ordonnées sont d'ordre administratives et découlent du droit de contrôle de l'autorité ( ATF 90 II 376 consid. 3 p. 384). L'autorité de surveillance ne peut en particulier statuer sur les questions de droit matériel qui règlent de manière définitive et durable une question de droit civil intéressant la succession; de telles questions relèvent de la compétence du juge civil (arrêt 5P.166/2004 du 24 juin 2004 consid. 2.2; Caroline Schuler-Buche, op. cit. p. 131 et les réf. citées).</w:t>
      </w:r>
    </w:p>
    <w:p>
      <w:r>
        <w:rPr>
          <w:b/>
        </w:rPr>
        <w:t>E. 3.2</w:t>
      </w:r>
    </w:p>
    <w:p>
      <w:r>
        <w:t>En l'espèce, par sa décision du 16 décembre 2008, le Juge de paix a ordonné au représentant de la communauté héréditaire de procéder au partage en versant à la recourante les 3/8èmes des liquidités de la succession de feu A.________. Les intimés s'étaient opposés à ce versement à la fois pour des motifs liés aux effets de la substitution fidéicommissaire et à l'existence d'un accord partiel sur le partage. L'autorité de surveillance a ainsi tranché des questions de droit matériel portant sur la titularité des montants réclamés, empiétant sur le domaine de compétence du juge civil. Dans ces conditions, sa décision ne pouvait être maintenue. Il appartiendra par conséquent à la partie la plus diligente de saisir le juge civil.</w:t>
      </w:r>
    </w:p>
    <w:p>
      <w:r>
        <w:rPr>
          <w:b/>
        </w:rPr>
        <w:t>E. 3.3</w:t>
      </w:r>
    </w:p>
    <w:p>
      <w:r>
        <w:t>Cette motivation résistant à l'examen, il est superflu de discuter de la première motivation fondée sur l'inexistence d'un accord de partage (cf. consid. 2 supra).</w:t>
      </w:r>
    </w:p>
    <w:p>
      <w:r>
        <w:rPr>
          <w:b/>
        </w:rPr>
        <w:t>E. 4</w:t>
      </w:r>
    </w:p>
    <w:p>
      <w:r>
        <w:t>En conclusion, le recours apparaît mal fondé et doit être rejeté. La recourante supportera par conséquent les frais de la présente procédure ( art. 66 al. 1 LTF ). ll n'est pas alloué de dépens, les intimés n'ayant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