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5A_804/2016 vom 26. Januar 2017</w:t>
      </w:r>
    </w:p>
    <w:p>
      <w:r>
        <w:t>Bundesgericht, 2017-01-26, FR</w:t>
      </w:r>
    </w:p>
    <w:p>
      <w:r>
        <w:rPr>
          <w:b/>
        </w:rPr>
        <w:t xml:space="preserve">Quelle: </w:t>
      </w:r>
      <w:r>
        <w:t>https://mcp.opencaselaw.ch/entscheid/bger_5A_804_2016</w:t>
      </w:r>
    </w:p>
    <w:p>
      <w:r>
        <w:t>FR: TF 5A_804/2016 du 26 janvier 2017</w:t>
      </w:r>
    </w:p>
    <w:p>
      <w:r>
        <w:t>IT: TF 5A_804/2016 del 26 gennaio 2017</w:t>
      </w:r>
    </w:p>
    <w:p>
      <w:pPr>
        <w:pStyle w:val="Heading2"/>
      </w:pPr>
      <w:r>
        <w:t>Erwägungen</w:t>
      </w:r>
    </w:p>
    <w:p>
      <w:r>
        <w:rPr>
          <w:b/>
        </w:rPr>
        <w:t>E. 1</w:t>
      </w:r>
    </w:p>
    <w:p>
      <w:r>
        <w:t>Seule est litigieuse la question du partage des avoirs de prévoyance professionnelle accumulés par la recourante durant le mariage. Il s'agit d'une contestation civile de nature pécuniaire, dont la valeur litigieuse atteint 30'000 fr. (art. 72 al. 1, 51 al. 1 let. a et 74 al. 1 let. b LTF). Interjeté en temps utile, par une partie ayant qualité pour recourir, contre une décision finale prise par une autorité cantonale supérieure de dernière instance statuant sur recours, le recours est également recevable au regard des art. 75, 76 al. 1, 90 et 100 al. 1 LTF.</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264 consid. 2.3; 134 IV 36 consid. 1.4.1; 133 II 249 consid. 1.2.2), doit démontrer, par une argumentation précise, en quoi consiste la violation ( art. 106 al. 2 LTF ).</w:t>
      </w:r>
    </w:p>
    <w:p>
      <w:r>
        <w:rPr>
          <w:b/>
        </w:rPr>
        <w:t>E. 3</w:t>
      </w:r>
    </w:p>
    <w:p>
      <w:r>
        <w:t>Invoquant une violation des art. 123 al. 2 et 2 al. 2 CC, la recourante considère que le partage des avoirs de prévoyance professionnelle aurait dû être refusé.</w:t>
      </w:r>
    </w:p>
    <w:p>
      <w:r>
        <w:rPr>
          <w:b/>
        </w:rPr>
        <w:t>E. 3.1</w:t>
      </w:r>
    </w:p>
    <w:p>
      <w:r>
        <w:t>L'arrêt dont est recours ayant été rendu le 9 septembre 2016, soit avant l'entrée en vigueur, le 1er janvier 2017 de la novelle du 19 juin 2015 portant notamment modification des art. 122 ss CC (RO 2016 2313; FF 2015 4437), les critiques de la recourante fondées sur ladite novelle sont sans pertinence et seront dès lors ignorées (cf. arrêt 5A_73/2013 du 20 août 2013 consid. 4.1).</w:t>
      </w:r>
    </w:p>
    <w:p>
      <w:r>
        <w:rPr>
          <w:b/>
        </w:rPr>
        <w:t>E. 3.1.1</w:t>
      </w:r>
    </w:p>
    <w:p>
      <w:r>
        <w:t>Aux termes de l' art. 122 CC , lorsque l'un des époux au moins est affilié à une institution de prévoyance professionnelle et qu'aucun cas de prévoyance n'est survenu, chaque époux a droit à la moitié des prestations de sortie de son conjoint calculée sur la durée du mariage selon les dispositions de la loi fédérale du 17 décembre 1993 sur le libre passage (LFLP; RS 831.42) (al. 1) et lorsque les conjoints ont des créances réciproques, seule la différence entre ces deux créances doit être partagée (al. 2). Exceptionnellement, le juge peut refuser le partage, en tout ou partie, lorsque celui-ci s'avère manifestement inéquitable pour des motifs tenant à la liquidation du régime matrimonial ou à la situation économique des époux après le divorce ( art. 123 al. 2 CC ; cf.</w:t>
      </w:r>
    </w:p>
    <w:p>
      <w:r>
        <w:t>infra consid. 3.1.2).</w:t>
      </w:r>
    </w:p>
    <w:p>
      <w:r>
        <w:t>Le droit au partage, en tant que conséquence d'une communauté de destin, ne dépend pas de la façon dont les époux se sont répartis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 ATF 129 III 577 consid. 4.2.2; arrêt 5A_796/2011 du 5 avril 2012 consid. 3.1 et les références, publié in FamPra.ch 2012 p. 755).</w:t>
      </w:r>
    </w:p>
    <w:p>
      <w:r>
        <w:rPr>
          <w:b/>
        </w:rPr>
        <w:t>E. 3.1.2</w:t>
      </w:r>
    </w:p>
    <w:p>
      <w:r>
        <w:t>Selon l' art. 123 al. 2 CC , le droit au partage par moitié peut être refusé s'il s'avère manifestement inéquitable pour des motifs tenant à la liquidation du régime matrimonial ou à la situation économique des époux après le divorce. Cette disposition doit être appliquée de manière restrictive afin d'éviter que le principe du partage par moitié des avoirs de prévoyance soit vidé de son contenu ( ATF 135 III 153 consid. 6.1; arrêts 5A_739/2014 du 16 avril 2015 consid. 5.4.1; 5A_73/2013 du 20 août 2013 consid. 4.1; 5A_220/2015 du 11 novembre 2015 consid. 5.2; 5A_104/2012 du 11 mai 2012 consid. 3.4.1; 5A_147/2011 du 24 août 2011 consid. 6.1.2). Seules des circonstances économiques postérieures au divorce peuvent justifier le refus du partage. Les circonstances qui ont conduit au divorce et le comportement des époux durant le mariage ne constituent pas des critères à prendre en considération (TANIA FERREIRA, in Guillod/Bohnet (éd.), Droit matrimonial, Commentaire pratique, 2016, n° 13 ad art. 123 CC et la référence). Il n'est ainsi pas possible de tenir compte du fait que l'époux n'a exercé une activité lucrative qu'à temps partiel pendant le mariage, puisque le partage par moitié des prestations de sortie a précisément pour but de rétablir l'égalité entre les conjoints ( ATF 129 III 577 consid. 4.3; arrêt 5A_796/2011 du 5 avril 2012 consid. 3.2, publié in FamPra.ch 2012 p. 755).</w:t>
      </w:r>
    </w:p>
    <w:p>
      <w:r>
        <w:t>Selon la jurisprudence, le refus du partage total ou partiel peut par exemple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On peut aussi mentionner le cas du conjoint qui, exerçant une activité lucrative, a financé les études de son conjoint, lui donnant ainsi la possibilité de se constituer à l'avenir une meilleure prévoyance que la sienne (arrêts 5A_398/2015 du 24 novembre 2015 consid. 4.1; 5A_220/2015 du 11 novembre 2015 consid. 5.2 et les références). Seule une disproportion manifeste dans la prévoyance globale des parties peut conduire à un refus total ou partiel du partage. En revanche, un simple déséquilibre entre les capacités financières des parties ne justifie pas de déroger au partage par moitié (arrêts 5A_398/2015 du 24 novembre 2015 consid. 4.1; 5A_220/2015 du 11 novembre 2015 consid. 5.2 et les références).</w:t>
      </w:r>
    </w:p>
    <w:p>
      <w:r>
        <w:t>Outre les motifs tenant à la liquidation du régime matrimonial ou à la situation économique des époux après le divorce, le juge peut également refuser le partage lorsque, dans un cas concret et en présence d'un état de fait comparable ou semblable à celui décrit à l' art. 123 al. 2 CC , le partage constituerait un abus de droit ( art. 2 al. 2 CC ; ATF 133 III 497 consid. 4.3; arrêts 5A_178/2012 du 20 septembre 2012 consid. 6.3.2 et les références, publié in FamPra.ch 2013 p. 169; 5A_648/2009 du 8 février 2010 consid. 4.1, publié in FamPra.ch 2010 p. 439). Cette dernière circonstance ne doit être appliquée qu'avec une grande réserve (arrêts 5A_73/2013 du 20 août 2013 consid. 4.1; 5A_178/2012 du 20 septembre 2012 consid. 6.3.2 et les références).</w:t>
      </w:r>
    </w:p>
    <w:p>
      <w:r>
        <w:t>Le Tribunal fédéral a ainsi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5A_178/2012 du 20 septembre 2012 consid. 6.3.2 et les références; 5A_796/2011 du 5 avril 2012 consid. 6.1 et les références; FERREIRA, op. cit., n° 22 ad art. 123 CC et les références).</w:t>
      </w:r>
    </w:p>
    <w:p>
      <w:r>
        <w:rPr>
          <w:b/>
        </w:rPr>
        <w:t>E. 3.1.3</w:t>
      </w:r>
    </w:p>
    <w:p>
      <w:r>
        <w:t>Lorsqu'il applique l' art. 123 al. 2 CC , le juge doit apprécier la situation en s'appuyant sur les règles du droit et de l'équité ( art. 4 CC ; arrêts 5A_739/2014 du 16 avril 2015 consid. 5.4.1; 5A_104/2012 du 11 mai 2012 consid. 3.4.1; 5A_381/2012 du 6 novembre 2012 consid. 5.1; 5A_796/2011 du 5 avril 2012 consid. 3.3; 5A_147/2011 du 24 août 2011 consid. 6.1.2). Le Tribunal fédéral revoit avec retenue la décision d'équité prise en dernière instance cantonale. Il n'intervient que lorsque celle-ci s'écarte sans raison des règles établies par la doctrine et la jurisprudence en matière de libre appréciation ( art. 4 CC ),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(arrêt 4A_268/2016 du 14 décembre 2016 consid. 5.1 et les références; cf. ég. en lien avec l' art. 123 al. 2 CC : arrêts 5A_739/2014 du 16 avril 2015 consid. 5.4.1; 5A_104/2012 du 11 mai 2012 consid. 3.4.1).</w:t>
      </w:r>
    </w:p>
    <w:p>
      <w:r>
        <w:rPr>
          <w:b/>
        </w:rPr>
        <w:t>E. 3.2</w:t>
      </w:r>
    </w:p>
    <w:p>
      <w:r>
        <w:t>En l'espèce, la cour cantonale a considéré qu'il n'existait pas de circonstances justifiant de renoncer au partage par moitié des avoirs de prévoyance professionnelle, qui n'était dès lors pas manifestement inéquitable au sens de l' art. 123 al. 2 CC . L'ex-époux, âgé de 38 ans, avait seulement travaillé deux ans et demi entre 2004 et 2014 et le montant total des avoirs de prévoyance professionnelle dont il disposait au moment du divorce était sensiblement moins élevé que celui dont l'ex-épouse disposait à la même date. Or il n'était pas établi qu'à l'avenir, la formation d'ingénieur que cette dernière finançait au début du mariage lui permettrait d'accéder à une meilleure activité lucrative et donc d'obtenir une meilleure prévoyance que celle de l'ex-épouse. Il n'avait du reste pas terminé cette formation et le fait qu'il y ait renoncé de son propre chef était sans incidence. Il était également sans pertinence qu'il se soit ou non occupé de sa fille ou qu'il lui reste plus d'années de cotisation qu'à l'ex-épouse.</w:t>
      </w:r>
    </w:p>
    <w:p>
      <w:r>
        <w:t>Les juges précédents ont par ailleurs considéré que le partage par moitié des avoirs de prévoyance professionnelle ne constituait pas un abus de droit manifeste ( art. 2 al. 2 CC ), dès lors que les époux formaient bien une communauté économique et familiale. Même si l'ex-époux ne s'était jamais soucié de sa famille, le mariage contracté par les parties n'était pas fictif, celles-ci ayant fait ménage commun et ayant donné naissance à une fille. De plus, l'ex-épouse avait accepté de financer près de deux ans une formation professionnelle à l'ex-époux et d'assumer l'entretien de la famille sans que ce dernier ne fournisse de contrepartie régulière en nature pendant la durée de la vie commune.</w:t>
      </w:r>
    </w:p>
    <w:p>
      <w:r>
        <w:t>Enfin, c'était à tort que le premier juge avait réduit de 58'137 fr. le montant des avoirs de prévoyance professionnelle à partager. L'ex-époux avait certes renoncé en audience aux prestations accumulées par l'ex-épouse pendant deux années, lesquelles correspondaient approximativement à la durée de sa formation. Il ne ressortait toutefois pas du dossier qu'il bénéficierait d'une autre manière d'une prévoyance vieillesse et invalidité équivalente conformément à l' art. 123 al. 1 CC . Par conséquent, sa renonciation n'était pas valable. C'était ainsi une créance d'un montant de 127'558 fr. 55 (266'111 fr. 90 [260'614 fr. 50 + 5'497 fr. 40] / 2 - 5'497 fr. 40) dont disposait l'ex-époux à l'encontre de l'ex-épouse au titre du partage des avoirs de prévoyance professionnelle.</w:t>
      </w:r>
    </w:p>
    <w:p>
      <w:r>
        <w:rPr>
          <w:b/>
        </w:rPr>
        <w:t>E. 3.3</w:t>
      </w:r>
    </w:p>
    <w:p>
      <w:r>
        <w:t>Le raisonnement de la cour cantonale ne révèle aucun abus de son pouvoir d'appréciation. Les constatations de fait de l'arrêt attaqué - non valablement remises en cause par la recourante, qui, oubliant que le Tribunal fédéral n'est pas une cour d'appel, n'a pas soulevé de grief d'établissement manifestement inexact des faits (cf.</w:t>
      </w:r>
    </w:p>
    <w:p>
      <w:r>
        <w:t>supra consid. 2.2) - ne font en effet pas apparaître chez l'ex-époux un avantage quelconque sur son ex-épouse qui pourrait lui tenir lieu de prévoyance professionnelle. Les motifs exposés par la recourante - en partie fondés sur des faits ne résultant pas de l'arrêt cantonal (invitation de son employeur à prendre une retraite anticipée à 58 ans, réduction du taux de cotisation depuis 2012) - ne permettent pas de déroger au principe légal du partage. Singulièrement, la différence d'âge entre les parties et le nombre d'années de cotisation à disposition de l'intimé mis en exergue par la recourante ne sauraient conduire à admettre que la situation de l'intimé, après qu'il aura pris sa retraite, sera meilleure que la sienne. Au demeurant, il n'apparaît pas que la situation économique de l'ex-épouse ait été modifiée par le mariage, dans la mesure où elle n'a pas renoncé à une activité lucrative pour se consacrer au ménage. De plus, les parties étant séparées de biens, il n'a pas été procédé à la liquidation du régime matrimonial. Enfin, aucune contribution d'entretien n'ayant été réclamée de part et d'autre, le risque que celle-ci entraîne un déséquilibre inéquitable au sens de l' art. 123 al. 2 CC entre les situations économiques respectives des parties après le divorce est inexistant.</w:t>
      </w:r>
    </w:p>
    <w:p>
      <w:r>
        <w:t>S'agissant de l'abus de droit dénoncé par la recourante, force est de constater que, sur ce point, l'arrêt déféré ne prête pas non plus le flanc à la critique. Il apparaît en effet que la recourante fonde largement son argumentation, censée démontrer l'absence de communauté domestique, sur des faits ne résultant pas de l'arrêt attaqué, qui, faute de grief correspondant, ne sauraient être pris en compte (cf.</w:t>
      </w:r>
    </w:p>
    <w:p>
      <w:r>
        <w:t>supra consid. 2.2). Or, sur la base des constatations de fait des juges précédents, qui lient le Tribunal fédéral, l'on ne saurait retenir que l'intimé n'a jamais eu l'intention de mener une véritable communauté de vie et de destin avec la recourante. Les éléments retenus à juste titre par la cour cantonale suffisent en effet à considérer que le mariage a laissé une empreinte dans la vie de l'intimé et qu'il n'a pas été qu'une union formelle dépourvue de véritable contenu. Il s'ensuit que c'est sans outrepasser son pouvoir d'appréciation que la cour cantonale a nié tout abus de droit de la part de l'intimé.</w:t>
      </w:r>
    </w:p>
    <w:p>
      <w:r>
        <w:t>Quant à la quotité de la créance de l'intimé, se contentant de solliciter le renvoi de la cause à la cour cantonale, la recourante ne la critique pas conformément aux exigences de motivation susrappelées (cf.</w:t>
      </w:r>
    </w:p>
    <w:p>
      <w:r>
        <w:t>supra consid. 2.1). Il n'y a dès lors pas lieu d'examiner ce point.</w:t>
      </w:r>
    </w:p>
    <w:p>
      <w:r>
        <w:t>Le partage par moitié des avoirs de prévoyance vieillesse accumulés par chacun des époux pendant le mariage opéré par les juges précédents échappe ainsi à la critique et conduit au rejet des moyens soulevés par la recourante.</w:t>
      </w:r>
    </w:p>
    <w:p>
      <w:r>
        <w:rPr>
          <w:b/>
        </w:rPr>
        <w:t>E. 4</w:t>
      </w:r>
    </w:p>
    <w:p>
      <w:r>
        <w:t>En définitive, le recours doit être rejeté, aux frais de la recourante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