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5A_804/2008 vom 30. Juni 2009</w:t>
      </w:r>
    </w:p>
    <w:p>
      <w:r>
        <w:t>Bundesgericht, 2009-06-30, FR</w:t>
      </w:r>
    </w:p>
    <w:p>
      <w:r>
        <w:rPr>
          <w:b/>
        </w:rPr>
        <w:t xml:space="preserve">Quelle: </w:t>
      </w:r>
      <w:r>
        <w:t>https://mcp.opencaselaw.ch/entscheid/bger_5A_804_2008</w:t>
      </w:r>
    </w:p>
    <w:p>
      <w:r>
        <w:t>FR: TF 5A_804/2008 du 30 juin 2009</w:t>
      </w:r>
    </w:p>
    <w:p>
      <w:r>
        <w:t>IT: TF 5A_804/2008 del 30 giugno 2009</w:t>
      </w:r>
    </w:p>
    <w:p>
      <w:pPr>
        <w:pStyle w:val="Heading2"/>
      </w:pPr>
      <w:r>
        <w:t>Erwägungen</w:t>
      </w:r>
    </w:p>
    <w:p>
      <w:r>
        <w:rPr>
          <w:b/>
        </w:rPr>
        <w:t>E. 1.1</w:t>
      </w:r>
    </w:p>
    <w:p>
      <w:r>
        <w:t>Interjeté en temps utile ( art. 100 al. 1 LTF ), et dans les formes requises ( art. 42 LTF ), contre un arrêt final ( art. 90 LTF ) rendu en matière civile ( art. 72 al. 1 LTF ; ATF 114 II 1 consid. 1 p. 4) par une autorité cantonale de dernière instance ( art. 75 LTF ), le recours est recevable au regard de ces dispositions. Le recourant a en outre qualité pour recourir ( art. 76 al. 1 LTF ).</w:t>
      </w:r>
    </w:p>
    <w:p>
      <w:r>
        <w:rPr>
          <w:b/>
        </w:rPr>
        <w:t>E. 1.2</w:t>
      </w:r>
    </w:p>
    <w:p>
      <w:r>
        <w:t>Le recours en matière civile peut être formé pour violation du droit fédéral ( art. 95 let. a LTF ), qui englobe les droits constitutionnels ( ATF 133 III 446 consid. 3.1 p. 447, 462 consid. 2.3 p. 466). Le Tribunal fédéral applique le droit d'office ( art. 106 al. 1 LTF ), sans être lié ni par les motifs de l'autorité précédente, ni par les moyens des parties; il peut ainsi admettre le recours pour d'autres motifs que ceux invoqués par le recourant, comme il peut le rejeter en opérant une substitution de motifs ( ATF 133 III 545 consid. 2.2 p. 550).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 art. 106 al. 2 LTF ), c'est-à-dire s'il a été expressément soulevé et exposé de façon claire et détaillée ( ATF 134 II 244 consid. 2.2 p. 246; 133 II 396 consid. 3.1 p. 399), les exigences de motivation de l'acte de recours correspondant à celles de l'ancien art. 90 al. 1 let. b OJ ( ATF 134 I 83 consid. 3.2 p. 88; 133 II 249 consid. 1.4.2 p. 254); les critiques de nature appellatoire sont irrecevables ( ATF 133 III 585 consid. 4.1 p. 589, 589 consid. 2 p. 591/592 et les arrêts cités). Le recourant ne saurait en outre se contenter de renvoyer aux actes cantonaux ou de reproduire la motivation déjà présentée dans la procédure cantonale: l' art. 42 al. 2 LTF exige qu'il discute au moins de manière succincte les considérants de la décision attaquée ( ATF 134 II 244 consid. 2.1-2.3 p. 246/247; 133 II 396 consid. 3.1 p. 399/400 et la jurisprudence citée).</w:t>
      </w:r>
    </w:p>
    <w:p>
      <w:r>
        <w:t>Quant à l'appréciation des preuves et à la constatation des faits, le Tribunal fédéral se montre réservé, vu le large pouvoir qu'il reconnaît en la matière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w:t>
      </w:r>
    </w:p>
    <w:p>
      <w:r>
        <w:rPr>
          <w:b/>
        </w:rPr>
        <w:t>E. 2</w:t>
      </w:r>
    </w:p>
    <w:p>
      <w:r>
        <w:t>Le recourant reproche à la Chambre des recours d'avoir arbitrairement apprécié les preuves et, partant, d'avoir violé son droit d'être entendu garanti par l' art. 29 al. 3 Cst. [recte: 29 al. 2 Cst.] ainsi que son droit à un procès équitable au sens de l' art. 6 CEDH . Soutenant que c'est lui, et non Y.________, qui a comparu devant l'officier d'état civil le 30 mars 1999, il fait grief à l'autorité cantonale d'avoir refusé d'entendre sur cette question les témoins officiels de la célébration du mariage, les frères A.________ et B.________. Il se plaint aussi du rejet, par les juges précédents, de sa requête présentée dans son mémoire de recours cantonal, tendant à une seconde expertise de la signature de X.________ apposée sur le registre des mariages.</w:t>
      </w:r>
    </w:p>
    <w:p>
      <w:r>
        <w:rPr>
          <w:b/>
        </w:rPr>
        <w:t>E. 2.1</w:t>
      </w:r>
    </w:p>
    <w:p>
      <w:r>
        <w:t>La jurisprudence a déduit du droit d'être entendu garanti par l' art. 29 al. 2 Cst. , notamment, le droit pour le justiciable de fournir des preuves quant aux faits de nature à influer sur le sort de la décision et d'obtenir qu'il soit donné suite à ses offres de preuves pertinentes ( ATF 126 I 15 consid. 2a/aa p. 16 et les arrêts cités). L' art. 6 CEDH n'offre pas de protection plus étendue que celle garantie par l' art. 29 al. 2 Cst. (arrêt 5D_61/2008 du 20 août 2008 consid. 4.2; 5P.94/2004 du 20 août 2004 consid. 2.1). Si des moyens de preuve sont invoqués en relation avec un droit subjectif privé découlant d'une norme de droit matériel fédéral, le recourant doit se plaindre de la violation de l' art. 8 CC , et non de la violation de son droit d'être entendu au sens de l' art. 29 al. 2 Cst. (arrêts 5A_44/2008 du 7 juillet 2008 consid. 3; 5A_403/2007 du 25 octobre 2007 consid. 3.1). En effet, l' art. 8 CC confère à celui qui supporte le fardeau de la preuve le droit d'offrir des moyens de preuve et d'obtenir qu'ils soient administrés, s'ils ont été présentés à temps et selon les formes prévues par la procédure cantonale ( ATF 114 II 289 consid. 2a p. 291). L' art. 8 CC ne permet toutefois pas de remettre en question l'appréciation des preuves du juge cantonal, ni n'exclut l'appréciation anticipée des preuves ou une administration limitée des preuves lorsque celle-ci emporte la conviction du juge quant à l'exactitude d'une allégation ( ATF 127 III 519 consid. 2a p. 521/522; 126 III 315 consid. 4a p. 317). Il ne permet pas non plus de critiquer l'appréciation du juge quant à l'aptitude d'un moyen de preuve à établir un fait pertinent ( ATF 122 III 219 consid. 3c p. 223 in fine).</w:t>
      </w:r>
    </w:p>
    <w:p>
      <w:r>
        <w:rPr>
          <w:b/>
        </w:rPr>
        <w:t>E. 2.2.1</w:t>
      </w:r>
    </w:p>
    <w:p>
      <w:r>
        <w:t>En ce qui concerne le rejet de la requête d'audition de A.________ et de B.________, la Chambre des recours a considéré que ces témoins avaient déjà été entendus en première instance et que le recourant n'expliquait pas en quoi la retranscription de leurs témoignages serait douteuse; au demeurant, il lui appartenait de faire verbaliser les témoignages s'il entendait se prévaloir de tel ou tel élément.</w:t>
      </w:r>
    </w:p>
    <w:p>
      <w:r>
        <w:t>Le recourant ne critique pas valablement cette motivation, en particulier s'agissant de la verbalisation des témoignages. Il se limite à reproduire les arguments déjà présentés dans la procédure cantonale, ainsi que des passages du jugement de première instance, qui révéleraient selon lui des divergences entre les déclarations de A.________ et celles de son frère. Sur ce point, le recours est irrecevable faute d'être suffisamment motivé ( art. 42 al. 1 et 2 LTF ; cf. supra, consid. 1.3).</w:t>
      </w:r>
    </w:p>
    <w:p>
      <w:r>
        <w:rPr>
          <w:b/>
        </w:rPr>
        <w:t>E. 2.2.2</w:t>
      </w:r>
    </w:p>
    <w:p>
      <w:r>
        <w:t>Quant au refus d'ordonner une seconde expertise de la signature de X.________, la Chambre des recours a estimé, en substance, que la première expertise avait été réalisée par un institut réputé dans son domaine. La méthode d'analyse visuelle et macroscopique utilisée par l'Université de Lausanne et par le Laboratoire de la police cantonale était conforme aux méthodes actuellement en vigueur, comme l'avait confirmé le Directeur de l'Institut de police scientifique de l'Université de Lausanne. Le caractère scientifique de l'expertise ne pouvait en particulier être nié du fait que l'expert avait considéré que la signature n'émanait «très vraisemblablement» pas de X.________, une expertise graphologique ne se prêtant pas à une détermination en pour-cent de la marge d'erreur. Enfin, comme l'expertise se fondait sur la comparaison des signatures à disposition, il importait peu de savoir si celles-ci étaient en langue arabe et si l'expert connaissait ce fait. Pour le surplus, l'expertise, complète et convaincante, n'apparaissait pas contraire aux autres preuves.</w:t>
      </w:r>
    </w:p>
    <w:p>
      <w:r>
        <w:t>Dans la mesure où le recourant reprend mot pour mot son argumentation figurant dans son mémoire adressé à la Chambre des recours, fondée sur un arrêt de la Cour suprême des Etats-Unis, il ne discute pas la motivation circonstanciée de la juridiction cantonale en réponse aux griefs soulevés devant elle. Il ne cherche par conséquent pas à démontrer en quoi cette autorité aurait à tort rejeté son argumentation et, partant, établi les faits de manière insuffisante ou violé son droit à la preuve. Il n'y a dès lors pas lieu d'entrer en matière sur le recours en tant qu'il se borne à reprendre l'argumentaire présenté en instance cantonale ( art. 42 al. 1 et 2 LTF ).</w:t>
      </w:r>
    </w:p>
    <w:p>
      <w:r>
        <w:t>Pour le surplus, le recourant se contente de soutenir, en résumé, que faute de caractère scientifique - comme l'indiquerait la constatation de l'autorité cantonale selon laquelle une expertise graphologique ne se prête pas à une détermination en pour-cent de la marge d'erreur -, l'expertise ne constitue qu'un avis, et non la démonstration scientifiquement rationnelle d'un degré de vraisemblance, à plus forte raison, d'un degré de vraisemblance supérieur à l'affirmation contraire. Un remède à cette incertitude du degré de vraisemblance eût été de recueillir l'avis d'un second expert. Ce faisant, le recourant se contente de faire valoir son opinion, sans démontrer en quoi l'autorité cantonale aurait arbitrairement apprécié les preuves. Autant qu'ils sont suffisamment motivés ( art. 106 al. 2 LTF ), les griefs de violation du droit d'être entendu et du droit à un procès équitable ne sont pas non plus fondés.</w:t>
      </w:r>
    </w:p>
    <w:p>
      <w:r>
        <w:rPr>
          <w:b/>
        </w:rPr>
        <w:t>E. 3</w:t>
      </w:r>
    </w:p>
    <w:p>
      <w:r>
        <w:t>Le recourant se plaint d'une violation des art. 194 [recte: 104], 107 et 108 CC. Il soutient qu'il ne s'agit pas, en l'espèce, d'un mariage inexistant, mais d'un cas d'application de l' art. 107 ch. 2 CC , l'intimée n'ayant pas voulu épouser la personne qui est devenue son conjoint. Comme elle mentionne, dans sa demande du 14 octobre 2005, que c'est durant l'été 2004 qu'elle a appris qu'elle n'était pas mariée avec Y.________ mais avec X.________, son action serait prescrite sur le vu de l' art. 108 CC .</w:t>
      </w:r>
    </w:p>
    <w:p>
      <w:r>
        <w:rPr>
          <w:b/>
        </w:rPr>
        <w:t>E. 3.1</w:t>
      </w:r>
    </w:p>
    <w:p>
      <w:r>
        <w:t>En vertu de l' art. 104 CC , les mariages célébrés devant un officier d'état civil ne peuvent être annulés que pour l'un des motifs expressément prévus par la loi. Selon l' art. 107 ch. 2 CC , un époux peut demander l'annulation du mariage lorsqu'il a déclaré par erreur consentir à la célébration, soit qu'il n'ait pas voulu se marier, soit qu'il n'ait pas voulu épouser la personne qui est devenue son conjoint. L'action doit être intentée dans le délai de six mois à compter de la découverte de la cause d'annulation, mais en tout cas dans les cinq ans qui suivent la célébration du mariage ( art. 108 al. 1 CC ).</w:t>
      </w:r>
    </w:p>
    <w:p>
      <w:r>
        <w:t>Le mariage conclu sous l'empire d'une erreur est ainsi sanctionné par l' art. 107 ch. 2 CC , qui vise uniquement le cas de l'erreur de déclaration (Werro, Concubinage, mariage et démariage, 5e éd., n. 304 p. 77). Celle-ci peut notamment porter sur le fait que l'époux ne voulait pas épouser la personne qui est devenue son conjoint (error in persona). Tel est le cas du fiancé aveugle ou qui n'a connu sa fiancée que par correspondance, à qui l'on substitue une autre épouse le jour du mariage (Götz, Commentaire bernois, n. 6 ad art. 124 aCC; ROSSEL/MENTHA, Manuel de droit civil suisse, vol. I, n. 335 p. 223, qui rappelle l'histoire biblique du premier mariage du patriarche Jacob; RUDOLF MERONI, Dogmatik und praktische Bedeutung des schweizerischen Eheungültigkeitsrechts, thèse Zurich 1984, p. 39). L'erreur peut aussi porter sur la personne civile, sur l'identité ou l'individualité de l'un des conjoints, qui réussit à se faire épouser en considération de ce qu'il prétend être socialement. Selon la doctrine, une pareille erreur n'est cependant de nature à créer une cause de nullité que si elle a été le motif déterminant du mariage et consisterait plutôt en une erreur sur les qualités essentielles, prévue à l'art. 125 ch. 1 aCC (Rossel/Mentha, op. cit., n. 355 p. 224; MERONI, op. cit., p. 39/40). A noter que sous le nouveau droit, ce type d'erreur n'a été conservé qu'en relation avec le dol sanctionné par l' art. 107 ch. 3 CC (WERRO, op. cit., n. 305 p. 77; GEISER/LÜCHINGER, Commentaire bâlois, n. 8 ad art. 107 CC ).</w:t>
      </w:r>
    </w:p>
    <w:p>
      <w:r>
        <w:t>Les art. 104 ss CC ne s'appliquent pas aux mariages inexistants. Il n'y a pas mariage au sens juridique lorsque la relation est entachée d'un vice fondamental, lorsqu'une condition absolument essentielle à sa formation fait défaut. Tel est le cas lorsqu'il n'y a pas eu échange - même vicié - des consentements, lorsque l'un des «époux» s'est fait représenter ou est prédécédé, lorsque les deux «époux» sont du même sexe ou encore lorsque le «mariage» n'a pas été célébré par un officier d'état civil (Message concernant la révision du code civil suisse, FF 1996 I p. 79; WERRO, op. cit., n. 375-376 p. 91). Bien qu'elle ne soit pas expressément réglée par le Code civil, une action en constatation d'état ayant pour objet l'existence ou l'inexistence d'un mariage peut être exercée ( ATF 114 II 1 consid. 1 p. 4 et les auteurs cités).</w:t>
      </w:r>
    </w:p>
    <w:p>
      <w:r>
        <w:rPr>
          <w:b/>
        </w:rPr>
        <w:t>E. 3.2</w:t>
      </w:r>
    </w:p>
    <w:p>
      <w:r>
        <w:t>Selon l'autorité cantonale, l' art. 107 ch. 2 CC concerne le cas où l'identité de la personne qui a consenti au mariage et signé dans les registres correspond à celle qui figure dans lesdits registres, mais où son cocontactant s'est trouvé dans l'erreur. Dans une telle hypothèse, le demandeur à l'action a effectué toutes les formalités essentielles du mariage avec la personne dont l'identité correspond à celle des registres, mais voulait en réalité épouser un tiers. En l'espèce, on se trouve dans la situation inverse, puisque la fiancée a effectué toutes les formalités essentielles du mariage avec une personne dont l'identité ne correspond pas avec celle qui a comparu, consenti et signé. Or, la loi fait de la comparution personnelle de celui qui se marie une condition essentielle du mariage, dont le défaut entraîne l'inexistence de celui-ci. En l'occurrence, le mariage, tel qu'il est mentionné à l'état civil, est intervenu avec X.________. Dès lors que celui-ci n'a pas comparu, ledit mariage est inexistant. Il importe donc peu que l'intimée ait voulu épouser Y.________, comme l'admet le premier juge, ou qu'elle ait été au courant de la supercherie, comme le juge pénal de première instance l'a retenu dans un jugement qui n'est pas encore définitif. Dans tous les cas, un mariage par procuration ou par représentation était exclu. Le juge de première instance a par conséquent constaté à juste titre l'inexistence du mariage.</w:t>
      </w:r>
    </w:p>
    <w:p>
      <w:r>
        <w:t>Ce raisonnement apparaît conforme au droit fédéral. Contrairement à ce que semble prétendre le recourant, il ne s'agit pas, en l'espèce, d'un cas d'erreur sur la personne physique du conjoint, puisque selon les faits établis par l'autorité précédente, qui lient le Tribunal fédéral ( art. 105 al. 1 LTF ), l'intimée avait bien l'intention d'épouser Y.________, qui était présent en tant que son fiancé lors de la célébration du mariage et avec qui l'échange des consentements a eu lieu. S'il convient d'admettre que Y.________ s'est marié sous une fausse identité, le recourant se méprend sur le sens à donner à un tel agissement, l'intimée n'ayant nullement été victime d'une imposture en l'épousant en raison de ce prétendu état civil.</w:t>
      </w:r>
    </w:p>
    <w:p>
      <w:r>
        <w:t>Le cas particulier se différencie des situations décrites ci-dessus en ce sens que l'intimée a effectué les formalités essentielles du mariage avec une personne dont l'identité ne correspond pas avec celle mentionnée sur les registres d'état civil. Comme le relève à bon droit l'autorité cantonale, la loi fait de la comparution personnelle de celui qui se marie une condition essentielle du mariage, un mariage par procuration ou par représentation étant inexistant (GÖTZ, op. cit., n. 5 ad Vorbemerkungen zum vierter Abschnitt, et n. 1 et 6 ad art. 117 aCC; MERONI, op. cit., p. 12). En l'occurrence, selon l'inscription figurant dans les registres, l'intimée est mariée avec X.________. Or, celui-ci n'a pas comparu en personne devant l'officier d'état civil. Il en résulte que le consentement mutuel entre lui et l'intimée, prévu par l' art. 102 al. 3 CC comme une condition constitutive du mariage (GEISER/LÜCHINGER, op. cit., n. 3 ad art. 102 CC ), fait défaut. Compte tenu de l'absence de ces formalités essentielles, le mariage entre X.________ et l'intimée doit ainsi être considéré comme inexistant (cf. notamment WERRO, op. cit., n. 376 p. 91).</w:t>
      </w:r>
    </w:p>
    <w:p>
      <w:r>
        <w:rPr>
          <w:b/>
        </w:rPr>
        <w:t>E. 4</w:t>
      </w:r>
    </w:p>
    <w:p>
      <w:r>
        <w:t>En conclusion, le recours se révèle mal fondé et ne peut qu'être rejeté, dans la mesure où il est recevable. Le recourant supportera dès lors les frais judiciaires ( art. 66 al. 1 LTF ). Ses conclusions n'apparaissaient cependant pas d'emblée vouées à l'échec et ses ressources sont faibles; sa requête d'assistance judiciaire peut dès lors être agréée ( art. 64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