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803/2020 vom 30. September 2020</w:t>
      </w:r>
    </w:p>
    <w:p>
      <w:r>
        <w:t>Bundesgericht, 2020-09-30, DE</w:t>
      </w:r>
    </w:p>
    <w:p>
      <w:r>
        <w:rPr>
          <w:b/>
        </w:rPr>
        <w:t xml:space="preserve">Quelle: </w:t>
      </w:r>
      <w:r>
        <w:t>https://mcp.opencaselaw.ch/entscheid/bger_5A_803_2020</w:t>
      </w:r>
    </w:p>
    <w:p>
      <w:r>
        <w:t>FR: TF 5A 803/2020 du 30 septembre 2020</w:t>
      </w:r>
    </w:p>
    <w:p>
      <w:r>
        <w:t>IT: TF 5A 803/2020 del 30 settembre 2020</w:t>
      </w:r>
    </w:p>
    <w:p>
      <w:pPr>
        <w:pStyle w:val="Heading2"/>
      </w:pPr>
      <w:r>
        <w:t>Regeste</w:t>
      </w:r>
    </w:p>
    <w:p>
      <w:r>
        <w:t>Fürsorgerische Unterbringung | Familienrecht</w:t>
      </w:r>
    </w:p>
    <w:p>
      <w:pPr>
        <w:pStyle w:val="Heading2"/>
      </w:pPr>
      <w:r>
        <w:t>Erwägungen</w:t>
      </w:r>
    </w:p>
    <w:p>
      <w:r>
        <w:rPr>
          <w:b/>
        </w:rPr>
        <w:t>E. 1</w:t>
      </w:r>
    </w:p>
    <w:p>
      <w:r>
        <w:t>Gemäss Art. 76 Abs. 1 lit. b BGG ist zur Beschwerde an das Bundesgericht nur berechtigt, wer ein schutzwürdiges Interesse an der Aufhebung oder Änderung des angefochtenen Entscheides hat. Das aktuelle und praktische Interesse an der Gutheissung der Beschwerde muss im Zeitpunkt des bundesgerichtlichen Urteils noch vorhanden sein ( BGE 131 I 153 E. 1.2 S. 157). Dies gilt auch für den Bereich der fürsorgerischen Unterbringung ( BGE 140 III 92 E. 2.1 und 2.2 S. 95). Ein solches Interesse fehlt nicht erst heute, sondern es war bereits bei Beschwerdeeinreichung nicht gegeben, nachdem in jenem Zeitpunkt die Entlassung aus der Klinik bereits erfolgt war; auf die Beschwerde ist deshalb nicht einzutreten ( BGE 136 III 497 E. 2.1 S. 500; 140 III 92 E. 3 S. 96). Daran ändert nichts, dass die Vorinstanz unbekümmert um die soeben dargestellte bundesgerichtliche Rechtsprechung die Beschwerde des längst entlassenen Beschwerdeführers materiell beurteilt hat. Im Übrigen würde selbst die allfällige Vorbereitung einer Haftungsklage nicht rechtfertigen, eine fürsorgerische Unterbringung virtuell zu überprüfen ( BGE 142 III 92 E. 2.1 und 2.2 S. 94 f.); vielmehr hätte die Überprüfung vorfrageweise im Rahmen des Haftungsprozesses zu erfolgen.</w:t>
      </w:r>
    </w:p>
    <w:p>
      <w:r>
        <w:rPr>
          <w:b/>
        </w:rPr>
        <w:t>E. 2</w:t>
      </w:r>
    </w:p>
    <w:p>
      <w:r>
        <w:t>Nach dem Gesagten ist auf die Beschwerde nicht einzutreten. Ohnehin stellt der Beschwerdeführer keine Rechtsbegehren ( Art. 42 Abs. 1 BGG ), sondern er stört sich einzig an gewissen Passagen der Urteilsbegründung, indem er vorbringt, es würden diverse Lügen verbreitet und Unterstellungen gemacht. Indes beträfe dies ohnehin einzig die Sachverhaltsfeststellung, ohne dass hierzu Willkürrügen erhoben würden ( Art. 105 Abs. 1 BGG ; BGE 140 III 264 E. 2.3 S. 266).</w:t>
      </w:r>
    </w:p>
    <w:p>
      <w:r>
        <w:rPr>
          <w:b/>
        </w:rPr>
        <w:t>E. 3</w:t>
      </w:r>
    </w:p>
    <w:p>
      <w:r>
        <w:t>Nach dem Gesagten ist auf die Beschwerde in vereinfachten Verfahren nach Art. 108 Abs. 1 lit. a und b BGG nicht einzutreten.</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