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5A_802/2020 vom 14. Oktober 2020</w:t>
      </w:r>
    </w:p>
    <w:p>
      <w:r>
        <w:t>Bundesgericht, 2020-10-14, FR</w:t>
      </w:r>
    </w:p>
    <w:p>
      <w:r>
        <w:rPr>
          <w:b/>
        </w:rPr>
        <w:t xml:space="preserve">Quelle: </w:t>
      </w:r>
      <w:r>
        <w:t>https://mcp.opencaselaw.ch/entscheid/bger_5A_802_2020</w:t>
      </w:r>
    </w:p>
    <w:p>
      <w:r>
        <w:t>FR: TF 5A_802/2020 du 14 octobre 2020</w:t>
      </w:r>
    </w:p>
    <w:p>
      <w:r>
        <w:t>IT: TF 5A_802/2020 del 14 ottobre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décision du 29 juin 2020, la Justice de paix de l'arrondissement de la Gruyère a, notamment, institué une curatelle de représentation avec gestion du patrimoine en faveur de A.________ et privé celui-ci de l'exercice de ses droits civils quant à la gestion de son patrimoine.</w:t>
      </w:r>
    </w:p>
    <w:p>
      <w:r>
        <w:t>Par arrêt du 3 septembre 2020, la Cour de protection de l'enfant et de l'adulte du Tribunal cantonal de l'État de Fribourg a déclaré irrecevable le recours formé par l'intéressé contre cette décision.</w:t>
      </w:r>
    </w:p>
    <w:p>
      <w:r>
        <w:rPr>
          <w:b/>
        </w:rPr>
        <w:t>E. 2</w:t>
      </w:r>
    </w:p>
    <w:p>
      <w:r>
        <w:t>Par écriture du 27 septembre 2020, la personne concernée exerce un recours au Tribunal fédéral contre l'arrêt cantonal.</w:t>
      </w:r>
    </w:p>
    <w:p>
      <w:r>
        <w:t>Des observations n'ont pas été requises.</w:t>
      </w:r>
    </w:p>
    <w:p>
      <w:r>
        <w:rPr>
          <w:b/>
        </w:rPr>
        <w:t>E. 3</w:t>
      </w:r>
    </w:p>
    <w:p>
      <w:r>
        <w:t>L'écriture du recourant doit être traitée en tant que recours en matière civile au sens de l'art. 72 al. 2 let. b ch. 6 LTF.</w:t>
      </w:r>
    </w:p>
    <w:p>
      <w:r>
        <w:rPr>
          <w:b/>
        </w:rPr>
        <w:t>E. 4.1</w:t>
      </w:r>
    </w:p>
    <w:p>
      <w:r>
        <w:t>En l'espèce, l'autorité précédente a déclaré irrecevable le recours, faute de répondre aux exigences de motivation découlant de l' art. 450 al. 3 CC ; en effet, l'intéressé s'est limité à déclarer qu'il était "</w:t>
      </w:r>
    </w:p>
    <w:p>
      <w:r>
        <w:t>contre la curatelle ", mais sans aborder - ne fût-ce que très sommairement - les motifs sur lesquels repose la mesure contestée.</w:t>
      </w:r>
    </w:p>
    <w:p>
      <w:r>
        <w:rPr>
          <w:b/>
        </w:rPr>
        <w:t>E. 4.2</w:t>
      </w:r>
    </w:p>
    <w:p>
      <w:r>
        <w:t>Le recourant affirme, en bref, qu'il est capable de vivre seul et de s'occuper de lui-même, et que, "</w:t>
      </w:r>
    </w:p>
    <w:p>
      <w:r>
        <w:t>contrairement à l'avis médical ", il peut organiser ses occupations quotidiennes. Il ne réfute cependant pas le motif d'irrecevabilité retenu par la cour cantonale; faute de motivation topique, le recours doit être ainsi écarté d'emblée ( art. 42 al. 2 LTF ; ATF 140 III 86 consid. 2 et les arrêts cités).</w:t>
      </w:r>
    </w:p>
    <w:p>
      <w:r>
        <w:rPr>
          <w:b/>
        </w:rPr>
        <w:t>E. 5</w:t>
      </w:r>
    </w:p>
    <w:p>
      <w:r>
        <w:t>En conclusion, le présent recours doit être déclaré irrecevable par voie de procédure simplifiée ( art. 108 al. 1 let. b LTF ). Il convient de statuer sans frais judiciaires (art. 66 al. 1, 2ème phrase,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