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5A_800/2023 vom 24. Oktober 2023</w:t>
      </w:r>
    </w:p>
    <w:p>
      <w:r>
        <w:t>Bundesgericht, 2023-10-24, DE</w:t>
      </w:r>
    </w:p>
    <w:p>
      <w:r>
        <w:rPr>
          <w:b/>
        </w:rPr>
        <w:t xml:space="preserve">Quelle: </w:t>
      </w:r>
      <w:r>
        <w:t>https://mcp.opencaselaw.ch/entscheid/bger_5A_800_2023</w:t>
      </w:r>
    </w:p>
    <w:p>
      <w:r>
        <w:t>FR: TF 5A_800/2023 du 24 octobre 2023</w:t>
      </w:r>
    </w:p>
    <w:p>
      <w:r>
        <w:t>IT: TF 5A_800/2023 del 24 ottobre 2023</w:t>
      </w:r>
    </w:p>
    <w:p>
      <w:pPr>
        <w:pStyle w:val="Heading2"/>
      </w:pPr>
      <w:r>
        <w:t>Erwägungen</w:t>
      </w:r>
    </w:p>
    <w:p>
      <w:r>
        <w:rPr>
          <w:b/>
        </w:rPr>
        <w:t>E. 1</w:t>
      </w:r>
    </w:p>
    <w:p>
      <w:r>
        <w:t>Bei Eheschutzsachen handelt es sich um vorsorgliche Massnahmen im Sinn von Art. 98 BGG ( BGE 133 III 393 E. 5.1; 147 III 81 E. 1.3), so dass nur die Rüge der Verletzung verfassungsmässiger Rechte möglich ist. Es gilt somit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142 III 364 E. 2.4; 149 III 81 E. 1.3). Sodann ist zu beachten, dass die Vorinstanz auf das Rechtsmittel des Beschwerdeführers nicht eingetreten ist. Anfechtungsgegenstand kann deshalb nur die Frage bilden, ob sie zu Recht einen Nichteintretensentscheid gefällt hat ( BGE 135 II 38 E. 1.2; 139 II 233 E. 3.2). Darauf haben sich die erwähnten Verfassungsrügen zu beziehen.</w:t>
      </w:r>
    </w:p>
    <w:p>
      <w:r>
        <w:rPr>
          <w:b/>
        </w:rPr>
        <w:t>E. 2</w:t>
      </w:r>
    </w:p>
    <w:p>
      <w:r>
        <w:t>Der Beschwerdeführer macht keine Verfassungsrügen geltend, weder explizit noch implizit, und er bezieht sich auch an keiner Stelle auf die Nichteintretenserwägungen des Kantonsgerichts, sondern er wiederholt in appellatorischer Weise seine schon in zahlreichen früheren Eingaben geäusserten Standpunkte, wonach keine Gefährdung im Sinn von Art. 175 ZGB vorgelegen habe und der Eheschutzrichter damals getäuscht worden sei und wonach die Mutter schlecht zum Kind schaue und es diesem unter seiner Obhut viel besser gehen würde, namentlich in gesundheitlicher Hinsicht.</w:t>
      </w:r>
    </w:p>
    <w:p>
      <w:r>
        <w:rPr>
          <w:b/>
        </w:rPr>
        <w:t>E. 3</w:t>
      </w:r>
    </w:p>
    <w:p>
      <w:r>
        <w:t>Nach dem Gesagten ist die Beschwerde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