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5A_800/2014 vom 29. Januar 2015</w:t>
      </w:r>
    </w:p>
    <w:p>
      <w:r>
        <w:t>Bundesgericht, 2015-01-29, FR</w:t>
      </w:r>
    </w:p>
    <w:p>
      <w:r>
        <w:rPr>
          <w:b/>
        </w:rPr>
        <w:t xml:space="preserve">Quelle: </w:t>
      </w:r>
      <w:r>
        <w:t>https://mcp.opencaselaw.ch/entscheid/bger_5A_800_2014</w:t>
      </w:r>
    </w:p>
    <w:p>
      <w:r>
        <w:t>FR: TF 5A_800/2014 du 29 janvier 2015</w:t>
      </w:r>
    </w:p>
    <w:p>
      <w:r>
        <w:t>IT: TF 5A_800/2014 del 29 gennaio 2015</w:t>
      </w:r>
    </w:p>
    <w:p>
      <w:pPr>
        <w:pStyle w:val="Heading2"/>
      </w:pPr>
      <w:r>
        <w:t>Erwägungen</w:t>
      </w:r>
    </w:p>
    <w:p>
      <w:r>
        <w:rPr>
          <w:b/>
        </w:rPr>
        <w:t>E. 1.1</w:t>
      </w:r>
    </w:p>
    <w:p>
      <w:r>
        <w:t>Le recours a été déposé en temps utile ( art. 100 al. 1 LTF ) à l'encontre d'une décision prononçant la mainlevée provisoire de l'opposition, à savoir une décision finale ( art. 90 LTF ; ATF 134 III 115 consid. 1.1 p. 117) rendue en matière de poursuite pour dettes ( art. 72 al. 2 let. a LTF , en relation avec l' art. 82 LP ) par le tribunal supérieur d'un canton ayant statué sur recours ( art. 75 al. 1 et 2 LTF ); la valeur litigieuse est atteinte ( art. 74 al. 1 let. b LTF ); la poursuivie, qui a succombé devant la juridiction précédente, a qualité pour recourir ( art. 76 al. 1 LTF ). Le recours est en principe recevable en tant que recours en matière civile.</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133 III 489 consid. 3.1 p. 489 s.). En l'occurrence, les conclusions de la recourante ne portent que sur l'annulation de l'arrêt entrepris. Toutefois, on comprend du rapprochement de la motivation de son mémoire et de sa conclusion en annulation de l'arrêt qui confirme le prononcé de mainlevée de l'opposition qu'elle demande le rejet de la requête de mainlevée.</w:t>
      </w:r>
    </w:p>
    <w:p>
      <w:r>
        <w:rPr>
          <w:b/>
        </w:rPr>
        <w:t>E. 1.3</w:t>
      </w:r>
    </w:p>
    <w:p>
      <w:r>
        <w:t>La recourante demande, sans plus ample motivation, qu'un avocat lui soit " accordé ". L' art. 41 al. 1 LTF dispose que si une partie est manifestement incapable de procéder elle-même, le Tribunal fédéral peut l'inviter à commettre un mandataire. Si elle ne donne pas suite à cette invitation dans le délai imparti, il lui attribue un avocat. En l'occurrence, la recourante a déposé elle-même un mémoire de recours qui respecte le délai et la forme prévus par la loi (cf. supra consid. 1.1), de sorte qu'il n'apparaît pas qu'elle fût dans l'incapacité de procéder. Pour autant qu'elle entende en réalité solliciter que ses frais d'avocat soient couverts dans le cadre de sa requête d'assistance judiciaire ( art. 64 al. 2 LTF ), sa requête est sans objet, puisqu'elle a procédé seule.</w:t>
      </w:r>
    </w:p>
    <w:p>
      <w:r>
        <w:rPr>
          <w:b/>
        </w:rPr>
        <w:t>E. 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 principe d'allégation "). Les critiques de nature appellatoire sont irrecevables ( ATF 133 III 585 consid. 4.1 p. 588 s.; 130 I 258 consid. 1.3 p. 261 s.).</w:t>
      </w:r>
    </w:p>
    <w:p>
      <w:r>
        <w:t>Vu ce qui précède, il ne saurait être tenu compte, en l'espèce, des considérations formulées - de manière purement appellatoire - par la recourante dans la partie "en fait " de son recours, faute pour elle d'avoir soulevé le grief d'arbitraire ( art. 9 Cst. ) dans l'établissement des faits.</w:t>
      </w:r>
    </w:p>
    <w:p>
      <w:r>
        <w:rPr>
          <w:b/>
        </w:rPr>
        <w:t>E. 3</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246 s.).</w:t>
      </w:r>
    </w:p>
    <w:p>
      <w:r>
        <w:t>En l'occurrence, dans la partie "en droit " de son recours, il apparaît que, contrairement aux exigences de motivation requises, la recourante s'est contentée de recopier textuellement la partie "en droit " de son mémoire de recours cantonal. Par sa manière de procéder, la recourante ne s'en prend manifestement pas à la décision attaquée; les critiques qu'elle formule sont ainsi d'emblée irrecevables.</w:t>
      </w:r>
    </w:p>
    <w:p>
      <w:r>
        <w:rPr>
          <w:b/>
        </w:rPr>
        <w:t>E. 4</w:t>
      </w:r>
    </w:p>
    <w:p>
      <w:r>
        <w:t>En conclusion, le présent recours doit être déclaré irrecevable, aux frais de la recourante ( art. 66 al. 1 LTF ). Ses conclusions étant d'emblée dénuées de chances de succès, sa requête d'assistance judiciaire est rejetée ( art. 64 al. 1 LTF ). Il n'y a pas lieu d'allouer des dépens à l'intimée, qui n'a pas été invitée à répondre sur le fond et qui a succombé s'agissant de l'effet suspensif octroyé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