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7/2019 vom 14. Januar 2019</w:t>
      </w:r>
    </w:p>
    <w:p>
      <w:r>
        <w:t>Bundesgericht, 2019-01-14, DE</w:t>
      </w:r>
    </w:p>
    <w:p>
      <w:r>
        <w:rPr>
          <w:b/>
        </w:rPr>
        <w:t xml:space="preserve">Quelle: </w:t>
      </w:r>
      <w:r>
        <w:t>https://mcp.opencaselaw.ch/entscheid/bger_5A_7_2019</w:t>
      </w:r>
    </w:p>
    <w:p>
      <w:r>
        <w:t>FR: TF 5A 7/2019 du 14 janvier 2019</w:t>
      </w:r>
    </w:p>
    <w:p>
      <w:r>
        <w:t>IT: TF 5A 7/2019 del 14 gennaio 2019</w:t>
      </w:r>
    </w:p>
    <w:p>
      <w:pPr>
        <w:pStyle w:val="Heading2"/>
      </w:pPr>
      <w:r>
        <w:t>Regeste</w:t>
      </w:r>
    </w:p>
    <w:p>
      <w:r>
        <w:t>Aufschiebende Wirkung (Eheschutzverfahren) | Familienrecht</w:t>
      </w:r>
    </w:p>
    <w:p>
      <w:pPr>
        <w:pStyle w:val="Heading2"/>
      </w:pPr>
      <w:r>
        <w:t>Erwägungen</w:t>
      </w:r>
    </w:p>
    <w:p>
      <w:r>
        <w:rPr>
          <w:b/>
        </w:rPr>
        <w:t>E. 1</w:t>
      </w:r>
    </w:p>
    <w:p>
      <w:r>
        <w:t>Angefochten ist ein kantonal letztinstanzlicher Entscheid betreffend die aufschiebende Wirkung. Dieser stellt, weil er das Zivilverfahren nicht abschliesst, keinen End-, sondern bloss einen Zwischenentscheid dar, der nur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IV 289 E. 1.3 S. 292). Weiter ist zu beachten, dass es um ein Eheschutzverfahren geht, welches eine vorsorgliche Massnahme im Sinn von Art. 98 BGG darstellt ( BGE 133 III 393 E. 5.1 S. 397; Urteile 5A_705/2013 vom 29. Juli 2014 E. 1.2; 5A_746/2014 vom 30. April 2015 E. 1.1),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S. 246; 140 III 264 E. 2.3 S. 266).</w:t>
      </w:r>
    </w:p>
    <w:p>
      <w:r>
        <w:rPr>
          <w:b/>
        </w:rPr>
        <w:t>E. 2</w:t>
      </w:r>
    </w:p>
    <w:p>
      <w:r>
        <w:t>Die Beschwerdeführerin äussert sich in ihrer relativ langen Eingabe in appellatorischer Weise zur Sache selbst. Die angefochtene Verfügung betrifft aber nicht die Sache selbst, sondern einzig die Frage der aufschiebenden Wirkung bzw. des Aufschubes der Vollstreckbarkeit. Die Beschwerdeführerin müsste sich deshalb mit der Erwägung in der angefochtenen Verfügung auseinandersetzen, wonach sie ihren im Rahmen der Berufung gestellten Antrag auf aufschiebende Wirkung nicht begründet habe, und mit substanziierten Verfassungsrügen darlegen, dass sie entgegen der Annahme in der angefochtenen Verfügung ihren Antrag tatsächlich begründet und das Obergericht dies in verfassungsverletzender Weise übersehen hätte. Sie tut solches nicht dar, ja äussert sich gar nicht erst dazu. Vor diesem Hintergrund kann offen bleiben, ob die den Nachteil streifenden Ausführungen auf S. 11 der Beschwerde den Begründungsanforderungen in Bezug auf die Voraussetzungen nach Art. 93 Abs. 1 BGG genügen würden. Der Vollständigkeit halber ist festzuhalten, dass sie jedenfalls den Mangel der fehlenden Begründung des Antrages auf aufschiebende Wirkung im Berufungsverfahren nicht zu "heilen" vermöchten, weil nicht vor oberer Instanz nachgeholt werden kann, was vor unterer Instanz versäumt wurde.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