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5A_79/2021 vom 22. Juni 2021</w:t>
      </w:r>
    </w:p>
    <w:p>
      <w:r>
        <w:t>Bundesgericht, 2021-06-22, FR</w:t>
      </w:r>
    </w:p>
    <w:p>
      <w:r>
        <w:rPr>
          <w:b/>
        </w:rPr>
        <w:t xml:space="preserve">Quelle: </w:t>
      </w:r>
      <w:r>
        <w:t>https://mcp.opencaselaw.ch/entscheid/bger_5A_79_2021</w:t>
      </w:r>
    </w:p>
    <w:p>
      <w:r>
        <w:t>FR: TF 5A_79/2021 du 22 juin 2021</w:t>
      </w:r>
    </w:p>
    <w:p>
      <w:r>
        <w:t>IT: TF 5A_79/2021 del 22 giugno 2021</w:t>
      </w:r>
    </w:p>
    <w:p>
      <w:pPr>
        <w:pStyle w:val="Heading2"/>
      </w:pPr>
      <w:r>
        <w:t>Erwägungen</w:t>
      </w:r>
    </w:p>
    <w:p>
      <w:r>
        <w:rPr>
          <w:b/>
        </w:rPr>
        <w:t>E. 1</w:t>
      </w:r>
    </w:p>
    <w:p>
      <w:r>
        <w:t>Le recours a été déposé en temps utile (art. 100 al. 1</w:t>
      </w:r>
    </w:p>
    <w:p>
      <w:r>
        <w:t>cum 46 al. 1 let. c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 Etant donné qu'il est entré en matière sur le recours en matière civile, le recours constitutionnel subsidiaire est irrecevable ( art. 113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V 215 consid. 1.1;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143 IV 500 consid. 1.1; 140 III 264 consid. 2.3); les critiques appellatoires sont irrecevables ( ATF 145 IV 154 consid. 1.1; 141 IV 249 consid. 1.3.1).</w:t>
      </w:r>
    </w:p>
    <w:p>
      <w:r>
        <w:rPr>
          <w:b/>
        </w:rPr>
        <w:t>E. 2.3.1</w:t>
      </w:r>
    </w:p>
    <w:p>
      <w:r>
        <w:t>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143 V 19 consid. 1.2; 139 III 120 consid. 3.1.2; 136 III 123 consid. 4.4.3). Il appartient, le cas échéant, au recourant d'exposer les raisons pour lesquelles il considère être en droit de présenter exceptionnellement des faits ou des moyens de preuve nouveaux ( ATF 139 III 120 consid. 3.1.2 et les références).</w:t>
      </w:r>
    </w:p>
    <w:p>
      <w:r>
        <w:rPr>
          <w:b/>
        </w:rPr>
        <w:t>E. 2.3.2</w:t>
      </w:r>
    </w:p>
    <w:p>
      <w:r>
        <w:t>En l'occurrence, les faits que la recourante allègue et les pièces qu'elle produit pour démontrer la recevabilité de sa réponse au recours cantonal en fonction du moment où l'ordonnance du 3 novembre 2020 lui octroyant un délai de dix jours à cette fin lui a été notifiée auraient pu l'être devant l'instance cantonale. En conséquence, ces faits et moyens de preuve doivent être qualifiés de nouveaux et déclarés irrecevables.</w:t>
      </w:r>
    </w:p>
    <w:p>
      <w:r>
        <w:rPr>
          <w:b/>
        </w:rPr>
        <w:t>E. 3</w:t>
      </w:r>
    </w:p>
    <w:p>
      <w:r>
        <w:t>L'autorité cantonale a établi que la poursuivante avait déposé sa réponse en dehors du délai non prolongeable de 10 jours qui lui avait été imparti par ordonnance notifiée à son mandataire le 4 novembre 2020. Elle a ensuite jugé que cette réponse ne devait dès lors pas être prise en considération en application de l' art. 147 al. 2 CPC .</w:t>
      </w:r>
    </w:p>
    <w:p>
      <w:r>
        <w:t>Au fond, elle a retenu que le commandement de payer yyy était établi au nom de " Succession C.________, rue U.________, V.________ " sur la base de la réquisition de poursuite du 22 juillet 2019 mentionnant comme créancier " Monsieur, C.________, succession " avec la date de naissance du [...]. Elle a jugé que ce commandement de payer ne respectait pas les exigences relatives à la désignation des parties. Il appartenait à l'hoirie de désigner scrupuleusement chacun des hoirs afin que la débitrice puisse les identifier et savoir si la poursuite était introduite par l'ensemble ou seulement une partie d'entre eux. Elle a en conséquence déclaré le commandement de payer nul et la requête de mainlevée irrecevable.</w:t>
      </w:r>
    </w:p>
    <w:p>
      <w:r>
        <w:rPr>
          <w:b/>
        </w:rPr>
        <w:t>E. 4</w:t>
      </w:r>
    </w:p>
    <w:p>
      <w:r>
        <w:t>La recourante se plaint d'arbitraire dans l'établissement des faits ( art. 9 Cst. ) ainsi que de la violation de son droit d'être entendue ( art. 29 al. 1 et 2 Cst.</w:t>
      </w:r>
    </w:p>
    <w:p>
      <w:r>
        <w:t>cum 53 al. 1 CPC) et de son droit à un procès équitable ( art. 6 CEDH ). En substance, elle soutient que son conseil a retiré l'acte judiciaire lui impartissant un délai pour répondre au recours le dernier jour du délai de garde, soit le 11 novembre 2020, de sorte que sa réponse expédiée le 23 suivant était recevable.</w:t>
      </w:r>
    </w:p>
    <w:p>
      <w:r>
        <w:rPr>
          <w:b/>
        </w:rPr>
        <w:t>E. 4.1.1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140 I 285 consid. 6.3.1). Commet ainsi une violation du droit d'être entendu l'autorité qui recueille d'office un renseignement essentiel concernant le respect d'un délai, et rend sa décision au détriment d'une partie sans lui laisser la possibilité de s'exprimer ( ATF 115 Ia 8 consid. 2c). Toutefois, lorsqu'il résulte manifestement des pièces du dossier qu'un délai n'a pas été respecté et que le juge n'a aucun doute à ce sujet, on ne saurait exiger de lui, au regard de l' art. 29 al. 2 Cst. , qu'il donne encore à l'intéressé l'occasion de se prononcer avant de rendre sa décision. Il serait au demeurant contraire à l'économie de procédure et à l'institution des délais d'exiger des autorités qu'elles interpellent systématiquement la partie concernée lorsqu'un délai n'est pas respecté, même lorsque les circonstances excluent tout doute sur cette question (arrêt 1C_85/2007 du 6 septembre 2007 consid. 3.2). Ce n'est ainsi que lorsqu'il existe un doute quant à la tardiveté d'une écriture que l'autorité cantonale doit, afin de respecter le droit d'être entendu, impartir un délai au recourant pour qu'il puisse présenter ses observations à ce sujet (arrêt 5A_28/2015 du 22 mai 2015 consid. 3.1.1 et les références).</w:t>
      </w:r>
    </w:p>
    <w:p>
      <w:r>
        <w:rPr>
          <w:b/>
        </w:rPr>
        <w:t>E. 4.1.2</w:t>
      </w:r>
    </w:p>
    <w:p>
      <w:r>
        <w:t>L'acte est réputé notifié lorsqu'il a été remis au destinataire ou à un de ses employés ( art. 138 al. 2 CPC ). Lorsque celui-ci n'a pas été retiré, il est réputé notifié en cas d'envoi recommandé à l'expiration d'un délai de sept jours à compter de l'échec de la remise, si le destinataire devait s'attendre à recevoir la notification. En raison de la fiction de la notification, le destinataire est considéré comme s'il avait reçu l'envoi le dernier jour du délai ( art. 138 al. 3 let. a CPC ; ATF 138 III 225 consid. 3.1; arrêt 5A_25/2020 du 16 avril 2020 consid. 4.1.2).</w:t>
      </w:r>
    </w:p>
    <w:p>
      <w:r>
        <w:t>Si l'envoi postal est remis à un employé du représentant d 'un plaideur, chargé du courrier, qui en accuse réception par sa signature, il se trouve dès ce moment dans la sphère d'influence du représentant et, ainsi, du plaideur. Peu importe, si, par la suite, en raison d'une transmission de courrier entre employés et d'une démarche inhabituelle de la Poste contribuant à une confusion, une notification a à nouveau été opérée et la réception également attestée par signature. L'erreur doit en définitive être imputée à une carence dans l'organisation de l'étude. La première notification est dès lors valable et seule décisive (arrêt 5A_721/2017 du 29 janvier 2018 consid. 3.2 et 3.3).</w:t>
      </w:r>
    </w:p>
    <w:p>
      <w:r>
        <w:rPr>
          <w:b/>
        </w:rPr>
        <w:t>E. 4.2</w:t>
      </w:r>
    </w:p>
    <w:p>
      <w:r>
        <w:t>En l'espèce, le grief d'arbitraire dans l'établissement des faits est d'emblée irrecevable, la recourante se fondant sur des pièces qu'elle aurait pu aisément produire avec sa réponse, de sorte que, comme déjà dit, celles-ci doivent être considérées comme nouvelles (cf.</w:t>
      </w:r>
    </w:p>
    <w:p>
      <w:r>
        <w:t>supra consid. 2.3). Au demeurant, la recourante relève elle-même que la question n'est pas tant de savoir si elle a été empêchée de procéder mais si l'autorité cantonale devait admettre que l'acte lui avait été notifié à l'expiration du délai de garde. Or, force est de constater qu'il ressort du suivi des envois de la Poste que, en date du 4 novembre 2020, une personne bénéficiaire d'une procuration de la part du représentant de la recourante a retiré l'acte judiciaire en apposant sa signature. Partant, même si, par la suite, un nouvel avis pour retrait au guichet, avec un délai de garde jusqu'au 11 novembre 2020, a été inséré dans la case postale du représentant, il n'en demeure pas moins que la première notification est seule décisive, au vu de la jurisprudence précitée. Si la recourante entendait contester celle-ci ou fournir une explication à ce sujet, il lui appartenait de le faire devant l'autorité cantonale, ce qu'elle a omis et persévère à omettre dans son présent recours, malgré l'évidence des faits qui ont amené l'autorité cantonale à retenir une remise à son représentant, par le biais d'une personne au bénéfice d'une procuration. Même si la motivation de l'arrêt attaqué est regrettablement lapidaire au vu du déroulement des faits relatifs à la notification, il demeure que cette autorité pouvait ainsi, sans violer le droit d'être entendu de la recourante, retenir que le délai de réponse n'avait manifestement pas été respecté compte tenu de la notification survenue le 4 novembre 2020. Pour les mêmes motifs, elle n'avait pas non plus à inviter la recourante à s'exprimer sur ce sujet. Il suit de là que le grief de la violation du droit d'être entendu doit être rejeté.</w:t>
      </w:r>
    </w:p>
    <w:p>
      <w:r>
        <w:rPr>
          <w:b/>
        </w:rPr>
        <w:t>E. 5</w:t>
      </w:r>
    </w:p>
    <w:p>
      <w:r>
        <w:t>Sans citer de norme légale, la recourante reproche ensuite à l'autorité cantonale d'avoir considéré que la poursuite était nulle et d'avoir refusé la mainlevée de l'opposition. Elle soutient en substance que cette autorité n'a pas tiré les conséquences pertinentes de l'arrêt 5A_34/2016 du 30 mai 2016 qui exclut précisément la nullité du commandement de payer si le débiteur peut identifier les créanciers membres de la communauté héréditaire mentionnée dans celui-ci.</w:t>
      </w:r>
    </w:p>
    <w:p>
      <w:r>
        <w:rPr>
          <w:b/>
        </w:rPr>
        <w:t>E. 5.1</w:t>
      </w:r>
    </w:p>
    <w:p>
      <w:r>
        <w:t>Dans la procédure de mainlevée provisoire, le juge n'est compétent que pour examiner la reconnaissance de dette, ainsi que les trois identités et statuer sur le droit du créancier de poursuivre le débiteur. Il peut certes également examiner d'office si la poursuite est à l'évidence périmée ou nulle; en revanche, il ne peut pas relever, ni retenir un vice de la procédure de poursuite dont l'intéressé doit se prévaloir par la voie de la plainte à l'autorité de surveillance ( ATF 139 III 444 consid. 4.1.1). En effet, abstraction faite de l'éventualité où elle est indubitable ou d'emblée manifeste, la nullité d'une mesure de l'office ne peut pas être constatée par le juge; pareille compétence appartient aux autorités de surveillance ( ATF 144 III 175 consid. 4.3).</w:t>
      </w:r>
    </w:p>
    <w:p>
      <w:r>
        <w:t>Cela étant, il est vrai que, même s'il l'a niée dans le cas d'espèce, le Tribunal fédéral a admis que la désignation imprécise, dans le commandement de payer, des membres de la communauté héréditaire qui requéraient la poursuite pouvait conduire à retenir la nullité de celui-ci, nullité que le juge de la mainlevée pouvait constater et, en conséquence, refuser de prononcer la mainlevée (arrêt 5A_34/2016 du 30 mai 2016 consid. 3.2).</w:t>
      </w:r>
    </w:p>
    <w:p>
      <w:r>
        <w:rPr>
          <w:b/>
        </w:rPr>
        <w:t>E. 5.2</w:t>
      </w:r>
    </w:p>
    <w:p>
      <w:r>
        <w:t>En l'espèce, force est de constater que la recourante ne remet pas en question le principe de l'arrêt 5A_34/2016 précité sur lequel s'est appuyée l'autorité cantonale. Elle ne fait, au contraire, que requérir son application, en se fondant toutefois sur des faits qui ne ressortent pas de l'arrêt attaqué. Or, non seulement elle ne dénonce pas l'omission arbitraire de ceux-ci par une critique répondant aux réquisits du principe d'allégation (cf.</w:t>
      </w:r>
    </w:p>
    <w:p>
      <w:r>
        <w:t>supra consid. 2.2), mais elle serait dans tous les cas forclose d'y procéder puisque ces faits ressortent de sa réponse, jugée irrecevable. Il suit de là que sa critique doit être déclarée irrecevable.</w:t>
      </w:r>
    </w:p>
    <w:p>
      <w:r>
        <w:rPr>
          <w:b/>
        </w:rPr>
        <w:t>E. 6</w:t>
      </w:r>
    </w:p>
    <w:p>
      <w:r>
        <w:t>En définitive, le recours est rejeté dans la mesure où il est recevable. Les frais judiciaires, arrêtés à 5' 000 fr., sont mis à la charge de la recourante qui succombe ( art. 64 al. 1 LTF ). Aucune indemnité n'est due à l'intimée qui a défendu elle-même ses intérêts sans recourir aux services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