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5A_79/2018 vom 2. Februar 2018</w:t>
      </w:r>
    </w:p>
    <w:p>
      <w:r>
        <w:t>Bundesgericht, 2018-02-02, DE</w:t>
      </w:r>
    </w:p>
    <w:p>
      <w:r>
        <w:rPr>
          <w:b/>
        </w:rPr>
        <w:t xml:space="preserve">Quelle: </w:t>
      </w:r>
      <w:r>
        <w:t>https://mcp.opencaselaw.ch/entscheid/bger_5A_79_2018</w:t>
      </w:r>
    </w:p>
    <w:p>
      <w:r>
        <w:t>FR: TF 5A_79/2018 du 2 février 2018</w:t>
      </w:r>
    </w:p>
    <w:p>
      <w:r>
        <w:t>IT: TF 5A_79/2018 del 2 febbraio 2018</w:t>
      </w:r>
    </w:p>
    <w:p>
      <w:pPr>
        <w:pStyle w:val="Heading2"/>
      </w:pPr>
      <w:r>
        <w:t>Erwägungen</w:t>
      </w:r>
    </w:p>
    <w:p>
      <w:r>
        <w:rPr>
          <w:b/>
        </w:rPr>
        <w:t>E. 1</w:t>
      </w:r>
    </w:p>
    <w:p>
      <w:r>
        <w:t>Angefochten ist der kantonal letztinstanzliche Entscheid betreffend fürsorgerische Unterbringung und Zwangsmedikation; die Beschwerde in Zivilsachen steht offen (Art. 72 Abs. 2 lit. b Ziff. 6, Art. 75 Abs. 1 und Art. 90 BGG ).</w:t>
      </w:r>
    </w:p>
    <w:p>
      <w:r>
        <w:rPr>
          <w:b/>
        </w:rPr>
        <w:t>E. 2</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3</w:t>
      </w:r>
    </w:p>
    <w:p>
      <w:r>
        <w:t>Die Beschwerde enthält kein Rechtsbegehren.</w:t>
      </w:r>
    </w:p>
    <w:p>
      <w:r>
        <w:t>Zur Begründung hält der Beschwerdeführer fest, er sowie seine Mutter und Schwester seien auseinandergetrieben worden, nachdem die Polizei die Türe aufgebrochen habe. Seither sei er zweimal in der Wohnung verhaftet worden. Er habe keine Vorstrafen und nicht einmal eine Autobusse; auch geschlagen habe er in seinem Leben noch nie.</w:t>
      </w:r>
    </w:p>
    <w:p>
      <w:r>
        <w:t>Dies stellt keine Auseinandersetzung mit dem ausführlich begründeten angefochtenen Entscheid dar. Darin ist unter Bezugnahme auf das Gutachten vom 3. Januar 2018, mit welchem sowohl die Weiterführung der fürsorgerischen Unterbringung als auch die Durchführung einer medikamentösen Behandlung ohne Zustimmung empfohlen worden war, in Bezug auf die fürsorgerische Unterbringung der Schwächezustand (paranoide Schizophrenie), die sich daraus ergebende Selbst- und Fremdgefährdung, die Erforderlichkeit der Unterbringung (akute Fürsorge- und Behandlungsbedürftigkeit, die ambulant nicht befriedigt werden könnte) und die Eignung der Klinik sowie in Bezug auf die Zwangsmedikation die ernsthafte Gesundheitsgefährdung, die Behandlungsbedürftigkeit (insbesondere auch zur Verhinderung einer weiteren Chronifizierung der Symptomatik), die betreffende Urteilsunfähigkeit und der Behandlungsplan ausführlich dargestellt. Es ist nicht ersichtlich, inwiefern die Vorinstanz mit dem abweisenden angefochtenen Entscheid Recht verletzt hätte.</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