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798/2021 vom 4. Oktober 2021</w:t>
      </w:r>
    </w:p>
    <w:p>
      <w:r>
        <w:t>Bundesgericht, 2021-10-04, DE</w:t>
      </w:r>
    </w:p>
    <w:p>
      <w:r>
        <w:rPr>
          <w:b/>
        </w:rPr>
        <w:t xml:space="preserve">Quelle: </w:t>
      </w:r>
      <w:r>
        <w:t>https://mcp.opencaselaw.ch/entscheid/bger_5A_798_2021</w:t>
      </w:r>
    </w:p>
    <w:p>
      <w:r>
        <w:t>FR: TF 5A 798/2021 du 4 octobre 2021</w:t>
      </w:r>
    </w:p>
    <w:p>
      <w:r>
        <w:t>IT: TF 5A 798/2021 del 4 ottobre 2021</w:t>
      </w:r>
    </w:p>
    <w:p>
      <w:pPr>
        <w:pStyle w:val="Heading2"/>
      </w:pPr>
      <w:r>
        <w:t>Regeste</w:t>
      </w:r>
    </w:p>
    <w:p>
      <w:r>
        <w:t>Unentgeltliche Rechtspflege (Kindesschutz) | Familienrecht</w:t>
      </w:r>
    </w:p>
    <w:p>
      <w:pPr>
        <w:pStyle w:val="Heading2"/>
      </w:pPr>
      <w:r>
        <w:t>Erwägungen</w:t>
      </w:r>
    </w:p>
    <w:p>
      <w:r>
        <w:rPr>
          <w:b/>
        </w:rPr>
        <w:t>E. 1</w:t>
      </w:r>
    </w:p>
    <w:p>
      <w:r>
        <w:t>Die Beschwerde hat ein Rechtsbegehren und eine Begründung zu enthalten ( Art. 66 Abs. 1 BGG ), in welcher in gedrängter Form dargelegt wird, inwiefern der angefochtene Entscheid Recht verletzt ( Art. 42 Abs. 2 BGG ), was eine sachbezogene Auseinandersetzung mit dessen Erwägungen erfordert ( BGE 140 III 115 E. 2 S. 116; 142 III 364 E. 2.4 S. 368).</w:t>
      </w:r>
    </w:p>
    <w:p>
      <w:r>
        <w:rPr>
          <w:b/>
        </w:rPr>
        <w:t>E. 2</w:t>
      </w:r>
    </w:p>
    <w:p>
      <w:r>
        <w:t>Die Beschwerde enthält weder ein Rechtsbegehren noch eine Begründung, welche auf die Erwägungen des angefochtenen Entscheides Bezug nimmt. Der Beschwerdeführer hält einzig fest, er habe seine Unterlagen schon 1000 Mal bei zig Stellen eingereicht, namentlich auch bei der KESB. Damit ist keine Rechtsverletzung darzutun.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