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5A_798/2009 vom 4. März 2010</w:t>
      </w:r>
    </w:p>
    <w:p>
      <w:r>
        <w:t>Bundesgericht, 2010-03-04, FR</w:t>
      </w:r>
    </w:p>
    <w:p>
      <w:r>
        <w:rPr>
          <w:b/>
        </w:rPr>
        <w:t xml:space="preserve">Quelle: </w:t>
      </w:r>
      <w:r>
        <w:t>https://mcp.opencaselaw.ch/entscheid/bger_5A_798_2009</w:t>
      </w:r>
    </w:p>
    <w:p>
      <w:r>
        <w:t>FR: TF 5A_798/2009 du 4 mars 2010</w:t>
      </w:r>
    </w:p>
    <w:p>
      <w:r>
        <w:t>IT: TF 5A_798/2009 del 4 marzo 2010</w:t>
      </w:r>
    </w:p>
    <w:p>
      <w:pPr>
        <w:pStyle w:val="Heading2"/>
      </w:pPr>
      <w:r>
        <w:t>Erwägungen</w:t>
      </w:r>
    </w:p>
    <w:p>
      <w:r>
        <w:rPr>
          <w:b/>
        </w:rPr>
        <w:t>E. 1</w:t>
      </w:r>
    </w:p>
    <w:p>
      <w:r>
        <w:t>Il résulte des actes d'état civil figurant au dossier que le nom de l'épouse est X.________, celui de Y.________, indiqué dans le rubrum de l'arrêt cantonal, étant son nom de célibataire. Il convient, par conséquent, de rectifier dans ce sens la dénomination de l'intimée telle qu'elle ressort de la décision déférée.</w:t>
      </w:r>
    </w:p>
    <w:p>
      <w:r>
        <w:rPr>
          <w:b/>
        </w:rPr>
        <w:t>E. 2.1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p. 395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2.2</w:t>
      </w:r>
    </w:p>
    <w:p>
      <w:r>
        <w:t>Le recours est irrecevable dans la mesure où il tend à ce que les époux soient autorisés à vivre séparés, au prononcé de la séparation de biens et, nonobstant la maxime d'office (cf. ATF 119 II 201 consid. 1 p. 203), à l'instauration d'une curatelle au sens de l' art. 308 al. 2 CC : ces conclusions équivalent à requérir la confirmation de l'arrêt attaqué sur ces points - étant précisé que le recourant ne saurait reprocher à la Cour de justice d'avoir «omis d'ordonner» une curatelle destinée à la surveillance du droit de visite, le chiffre du dispositif du jugement de première instance prévoyant une telle mesure ayant été confirmé par l'arrêt attaqué. La condition de l'intérêt juridique au sens de l' art. 76 al. 1 let. b LTF n'est, dès lors, pas réalisée. Au demeurant, le recours n'apparaît pas motivé dans la mesure où il vise à ce qu'il soit fait interdiction à la mère de quitter le territoire suisse avec l'enfant; il en va de même des chefs de conclusions relatifs à l'attribution du domicile familial, étant relevé que cette question est matériellement liée à l'attribution du droit de garde sur l'enfant.</w:t>
      </w:r>
    </w:p>
    <w:p>
      <w:r>
        <w:rPr>
          <w:b/>
        </w:rPr>
        <w:t>E. 2.3</w:t>
      </w:r>
    </w:p>
    <w:p>
      <w:r>
        <w:t>Comme l'arrêt attaqué porte sur des mesures provisionnelles au sens de l' art. 98 LTF ( ATF 133 III 393 consid. 5 p. 396, 585 consid. 3.3 p. 587),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 ATF 134 II 349 consid. 3 p. 352 et les arrêts cités).</w:t>
      </w:r>
    </w:p>
    <w:p>
      <w:r>
        <w:rPr>
          <w:b/>
        </w:rPr>
        <w:t>E. 2.4</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p. 398 et 585 consid. 4.1 p. 588).</w:t>
      </w:r>
    </w:p>
    <w:p>
      <w:r>
        <w:t>Dans la mesure où le recourant s'écarte, dans la partie en fait de son mémoire, des constatations de l'arrêt attaqué, les complète ou les modifie sans se prévaloir ni démontrer d'arbitraire à ce sujet, ses allégations sont irrecevables.</w:t>
      </w:r>
    </w:p>
    <w:p>
      <w:r>
        <w:rPr>
          <w:b/>
        </w:rPr>
        <w:t>E. 3</w:t>
      </w:r>
    </w:p>
    <w:p>
      <w:r>
        <w:t>En ce qui concerne l'attribution de la garde de l'enfant, le recourant reproche d'abord à l'autorité cantonale de s'être écartée de l'avis du SPMi et des autres professionnels en charge du suivi de son fils sans instruire la cause plus avant, notamment sans ordonner l'expertise familiale sollicitée par l'intimée. Il invoque à cet égard le principe de la maxime inquisitoire, le droit à un procès équitable au sens de l'art. 6 § 1 CEDH et le droit d'être entendu garanti par l' art. 29 al. 2 Cst. Il se réfère en outre aux art. 3 al. 1 et 9 al. 2 de la Convention du 20 novembre 1989 relative aux droits de l'enfant (CDE; RS 0.107).</w:t>
      </w:r>
    </w:p>
    <w:p>
      <w:r>
        <w:rPr>
          <w:b/>
        </w:rPr>
        <w:t>E. 3.1</w:t>
      </w:r>
    </w:p>
    <w:p>
      <w:r>
        <w:t>Le principe de la maxime inquisitoire, tout comme le droit d'être entendu déduit notamment de l' art. 29 al. 2 Cst. , ne signifie pas que le juge doive donner suite à toutes les offres de preuves qui lui sont présentées, ni recueillir d'office tous les éléments susceptibles d'influer sur la réglementation concernant les enfants; il ne lui interdit pas non plus de procéder à une appréciation anticipée des preuves déjà recueillies pour évaluer la nécessité d'en administrer d'autres ( ATF 130 III 734 consid. 2.2.3 p. 735). Abstraction faite d'exceptions qui ne sont pas réalisées dans le cas présent (cf. à ce sujet: F. HOHL, Procédure civile, t. I, n. 1045), l'expertise n'est ainsi qu'une mesure probatoire parmi d'autres. Le juge doit l'ordonner lorsqu'elle apparaît comme le seul moyen de preuve idoine, en particulier lorsqu'il ne dispose pas de connaissances personnelles suffisantes pour se prononcer sur le bien de l'enfant; il jouit à cet égard d'un large pouvoir d'appréciation (arrêts 5A_405/2007 du 6 décembre 2007, consid. 2.2, in FamPra.ch 2008 p. 708 [divorce]; 5P.84/2006 du 3 mai 2006, consid. 3.2 [mesures protectrices]; 5C.153/2002 du 16 octobre 2002, consid. 3.1.2 et les références).</w:t>
      </w:r>
    </w:p>
    <w:p>
      <w:r>
        <w:rPr>
          <w:b/>
        </w:rPr>
        <w:t>E. 3.2</w:t>
      </w:r>
    </w:p>
    <w:p>
      <w:r>
        <w:t>En l'espèce, l'autorité cantonale a considéré qu'une expertise des compétences parentales, bien que préconisée par certains intervenants, retarderait son prononcé de manière incompatible avec le caractère sommaire de la procédure de mesures protectrices de l'union conjugale et qu'elle disposait d'éléments suffisants pour statuer. Elle a ainsi estimé, en substance, que bien que la capacité d'encadrement des parties fût égale et que la mère ne favorisât pas les contacts de l'enfant avec son père, celle-ci disposait d'une plus grande faculté à s'occuper personnellement de son fils, ce qui revêtait une importance particulière s'agissant d'un enfant de huit ans présentant des troubles de santé; d'ailleurs, aux dires mêmes du SPMi, l'attribution de l'enfant à son père aggraverait ses difficultés, dès lors qu'il avait toujours vécu auprès de sa mère depuis la séparation des époux.</w:t>
      </w:r>
    </w:p>
    <w:p>
      <w:r>
        <w:t>Vu ces considérations et la pondération entre les différents critères d'attribution de l'enfant ainsi effectuée, le recourant ne démontre pas que l'appréciation anticipée des preuves à laquelle s'est livrée la cour cantonale, qui a estimé qu'elle disposait de suffisamment d'éléments pour statuer sans avoir besoin de recourir à une expertise, serait arbitraire, voire contraire à l'art. 6 § 1 CEDH . Il n'établit pas non plus en quoi l'intérêt supérieur de l'enfant, au sens de l' art. 3 al. 1 CDE , et la possibilité pour toutes les parties intéressées de participer aux délibérations et de faire connaître leurs vues, selon l' art. 9 al. 2 CDE , auraient été méconnus du fait de l'absence d'expertise familiale. A supposer que le recourant se plaigne aussi d'une violation du droit d'être entendu de l'enfant au motif que celui-ci n'aurait pas été auditionné, sa critique est irrecevable, faute de motivation suffisante ( art. 106 al. 2 LTF ). L'autorité cantonale a en effet exposé les raisons qui l'ont conduite à ne pas procéder à l'audition de l'enfant à ce stade; or le recourant ne critique pas ses arguments.</w:t>
      </w:r>
    </w:p>
    <w:p>
      <w:r>
        <w:rPr>
          <w:b/>
        </w:rPr>
        <w:t>E. 4</w:t>
      </w:r>
    </w:p>
    <w:p>
      <w:r>
        <w:t>Le recourant reproche en outre à la Cour de justice d'avoir violé la maxime inquisitoire s'agissant de l'établissement de ses charges. Il s'en tient cependant à de simples généralités, affirmant que l'autorité cantonale était tenue de lui impartir un délai pour faire valoir l'intégralité de ses charges et fournir toutes pièces utiles à cet égard, notamment fiscales. Or, même lorsque le procès est soumis à la maxime inquisitoire - ce qui est le cas s'agissant de la contribution d'entretien en faveur de l'enfant, mais non pas de l'épouse -, les règles de la bonne foi exigent que les parties collaborent à la recherche des faits et des moyens de preuve ( ATF 128 III 411 consid. 3.2.1 p. 413, cité de manière incomplète par le recourant). Le recours est dès lors irrecevable sur ce point faute d'être suffisamment motivé ( art. 106 al. 2 LTF ).</w:t>
      </w:r>
    </w:p>
    <w:p>
      <w:r>
        <w:rPr>
          <w:b/>
        </w:rPr>
        <w:t>E. 5</w:t>
      </w:r>
    </w:p>
    <w:p>
      <w:r>
        <w:t>Le recourant fait aussi grief à l'autorité cantonale d'avoir fait preuve d'arbitraire en attribuant la garde de l'enfant à l'intimée. Il invoque en outre à cet égard les art. 8 CEDH , 8 et 13 al. 1 Cst., ainsi que l' art. 9 al. 1 CDE .</w:t>
      </w:r>
    </w:p>
    <w:p>
      <w:r>
        <w:rPr>
          <w:b/>
        </w:rPr>
        <w:t>E. 5.1</w:t>
      </w:r>
    </w:p>
    <w:p>
      <w:r>
        <w:t>La garantie constitutionnelle de l'égalité de traitement entre homme et femme ( art. 8 al. 1 Cst. ) s'adressant à l'État et ne produisant pas d'effet horizontal direct sur les relations entre personnes privées ( ATF 114 Ia 329 consid. 2b p. 330/331 et les arrêts cités), le recourant ne peut s'en prévaloir à l'appui d'un recours dirigé contre une décision rendue dans une affaire opposant deux particuliers; il en est de même, en principe, de l' art. 8 al. 2 Cst. Les règles de droit civil doivent cependant être interprétées en tenant compte des exigences particulières qui résultent des droits fondamentaux (arrêt 5P.103/2004 du 7 juillet 2004, consid. 2.1, in SJ 2005 I p. 30).</w:t>
      </w:r>
    </w:p>
    <w:p>
      <w:r>
        <w:t>Il en va pareillement de l' art. 9 al. 1 CDE , qui prescrit aux États de veiller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par exemple lorsque les parents vivent séparément et qu'une décision doit être prise au sujet du lieu de résidence de l'enfant.</w:t>
      </w:r>
    </w:p>
    <w:p>
      <w:r>
        <w:rPr>
          <w:b/>
        </w:rPr>
        <w:t>E. 5.2</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L'attribution des enfants à l'un des parents en cas de divorce ou de séparation constitue une atteinte grave au droit au respect de la vie familiale de l'autre parent. En droit suisse, cette ingérence des autorités publiques dans la vie familiale est prévue, s'agissant des mesures protectrices de l'union conjugale, par l' art. 176 al. 3 CC ; dans ce domaine, la réglementation du Code civil suisse est conforme à l' art. 8 CEDH . Pour qu'une telle ingérence soit licite, encore faut-il que cette réglementation ait été correctement appliquée; le critère essentiel qui doit guider les autorités est le bien, autant physique que psychique, de l'enfant. Dans la mesure où le droit conventionnel correspond à un droit constitutionnel (par exemple l'art. 8 § 1 CEDH qui correspond à l' art. 13 Cst. ), le Tribunal fédéral peut le revoir librement, et ce même lorsque celui-ci se confond avec une réglementation - en l'espèce l'organisation de la vie séparée -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(arrêts 5P.8/2007 du 6 juin 2008, consid. 5.1; 5P.345/2005 du 23 décembre 2005, consid. 3.1; 5P.257/2003 du 18 septembre 2003, consid. 2.1; 5P.290/2001 du 16 novembre 2001, consid. 2c in fine; ATF 120 II 384 consid. 5 p. 387/388 et les références citées).</w:t>
      </w:r>
    </w:p>
    <w:p>
      <w:r>
        <w:rPr>
          <w:b/>
        </w:rPr>
        <w:t>E. 5.3</w:t>
      </w:r>
    </w:p>
    <w:p>
      <w:r>
        <w:t>En vertu de l' art. 176 al. 3 CC , relatif à l'organisation de la vie séparée, lorsque les époux ont des enfants mineurs, le juge ordonne les mesures nécessaires d'après les dispositions sur les effets de la filiation (cf. art. 273ss CC ); il peut, notamment, attribuer la garde des enfants à un seul des parents.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w:t>
      </w:r>
    </w:p>
    <w:p>
      <w:r>
        <w:rPr>
          <w:b/>
        </w:rPr>
        <w:t>E. 5.4</w:t>
      </w:r>
    </w:p>
    <w:p>
      <w:r>
        <w:t>Selon la décision attaquée, la mère a pris un emploi à raison de dix heures par semaine. Elle est donc plus disponible que le père, qui travaille à plein temps, pour s'occuper personnellement de l'enfant, ce qui revêt une importance particulière dès lors que celui-ci n'a que huit ans et présente des troubles de santé. Le SPMi a certes retenu qu'elle ne prenait pas la juste mesure des problèmes psychiques de son fils et qu'elle mettait régulièrement en question les thérapies suivies par celui-ci, thérapies dont elle ne discernait pas l'utilité. Toutefois, la psychologue de la Guidance Infantile a attesté qu'elle avait, de sa propre initiative, soumis l'enfant à une évaluation de ses capacités cognitives et de ses difficultés de concentration, qu'elle se montrait soucieuse d'adopter un comportement de nature à favoriser une amélioration de l'état de santé de son fils, qu'elle savait lui poser des limites et qu'elle demandait des avis thérapeutiques concernant les activités proposées à celui-ci. De plus, la pédopsychiatre de l'enfant a certifié que c'est la mère qui l'a sollicitée pour mettre en oeuvre une thérapie en faveur de son fils; ce médecin n'a en revanche pas confirmé les propos du SPMi, selon lesquels l'enfant ne bénéficierait pas d'un cadre stable et sécurisant auprès d'elle. Par ailleurs, la mère a consulté un neuropédiatre et a pris des renseignements auprès d'une association d'aide aux parents d'enfants souffrant d'hyperactivité. Enfin, le SPMi a omis de prendre en considération l'avis du médecin-traitant de l'enfant, qui attestait pourtant des compétences éducatives de la mère.</w:t>
      </w:r>
    </w:p>
    <w:p>
      <w:r>
        <w:t>L'autorité cantonale en a déduit que la mère était consciente des besoins de son fils et des thérapies qu'impliquait l'état de santé de celui-ci, sous réserve de la poursuite d'un traitement en matière de psychomotricité interrompu avant terme, en juin 2009. Cette juridiction a en outre retenu que, selon le SPMi, le père était également conscient des besoins de l'enfant et de l'importance de poursuivre les traitements en cours; il se montrait fiable, rassurant et était en mesure d'offrir à son fils un cadre clair en étant conscient de la nécessité de lui poser des règles strictes.</w:t>
      </w:r>
    </w:p>
    <w:p>
      <w:r>
        <w:t>Selon la Cour de justice, les parties présentaient ainsi des facultés d'encadrement plus ou moins égales. S'il était vraisemblable que la mère ne favorisait pas les contacts de l'enfant avec son père, cet aspect de la capacité éducative devait être pondéré sur le vu des autres éléments d'appréciation. A cet égard, les juges précédents ont considéré que la mère était plus disponible que le père, qu'il ressortait clairement du rapport du SPMi que l'attribution de la garde à celui-ci provoquerait une crise et des difficultés chez l'enfant, sans que le pronostic d'une évolution positive à moyen terme émis par ce service ne soit confirmé, qu'enfin, hormis durant la période où la garde avait été provisoirement retirée à la mère par le SPMi, l'enfant avait toujours vécu auprès de celle-ci depuis la séparation des parties. Dans ces conditions, l'autorité cantonale a estimé que l'intérêt de l'enfant commandait d'attribuer sa garde à la mère, étant précisé que cette appréciation pourrait être revue si celle-ci persistait à s'opposer aux contacts de l'enfant avec son père et ne prenait pas les mesures nécessaires en vue de la poursuite du traitement de psychomotricité.</w:t>
      </w:r>
    </w:p>
    <w:p>
      <w:r>
        <w:rPr>
          <w:b/>
        </w:rPr>
        <w:t>E. 5.5</w:t>
      </w:r>
    </w:p>
    <w:p>
      <w:r>
        <w:t>Le recourant ne démontre pas, conformément aux exigences de motivation requises, que l'autorité cantonale aurait méconnu les principes applicables en la matière ou constaté les faits de manière arbitraire. Il expose, sans toutefois étayer son affirmation, que la mère est plus disponible pour s'occuper personnellement de l'enfant car elle a perdu son précédent emploi pour cause de comportement inadéquat, et que ses efforts pour s'intégrer professionnellement sont pour le moins limités. Il conteste par ailleurs l'opinion de la Cour de justice, qui estime qu'il ne serait pas judicieux d'attribuer la garde au père du moment que le SPMi retient que cette attribution "provoquerait une crise et des difficultés chez l'enfant", partant, aggraverait le trouble dont il souffre: selon lui, l'affection dont son fils est atteint - à savoir un trouble hyperkinétique avec déficit de l'activité et de l'attention - impliquerait une prise en charge soutenue et une implication parentale assidue; or la mère présenterait moins de garanties de sérieux et de constance dans le suivi de l'enfant, en particulier sur le plan scolaire étant donné ses difficultés linguistiques et son niveau de formation peu poussé.</w:t>
      </w:r>
    </w:p>
    <w:p>
      <w:r>
        <w:t>Cette argumentation ne suffit pas à établir la violation des droits constitutionnels invoqués. Le recourant se borne à privilégier certains éléments de preuve susceptibles d'étayer sa thèse, en occultant ceux retenus par la Cour de justice. En particulier, l'autorité cantonale a considéré que la mère disposait de plus de temps pour s'occuper personnellement de l'enfant: il s'agit d'un critère considéré comme primordial par la jurisprudence (cf. ATF 114 II 200 consid. 3 p. 201), et les raisons pour lesquelles l'intimée ne travaille qu'à 40 % - qui ne ressortent du reste pas de l'arrêt attaqué - ne sont en l'occurrence pas décisives. Selon les juges précédents, qui se sont à cet égard fondés sur le rapport du SPMi, il convenait en outre d'éviter des changements dans la prise en charge de l'enfant, qui avait quasiment toujours vécu avec sa mère depuis la séparation des parties, et ce afin d'éviter une aggravation de ses troubles du comportement; le recourant ne critique pas valablement cette motivation, se contentant de soutenir qu'il serait plus apte que l'intimée à assurer le suivi médical et scolaire de l'enfant, sans nullement le démontrer.</w:t>
      </w:r>
    </w:p>
    <w:p>
      <w:r>
        <w:t>Pour autant que ses moyens soient suffisamment motivés ( art. 106 al. 2 LTF ; ATF 133 IV 286 consid. 1.4 p. 287; 133 III 589 consid. 2 p. 591/592), le recourant ne saurait donc être suivi lorsqu'il prétend qu'il convient, dans l'intérêt supérieur de l'enfant, de lui attribuer la garde de celui-ci.</w:t>
      </w:r>
    </w:p>
    <w:p>
      <w:r>
        <w:rPr>
          <w:b/>
        </w:rPr>
        <w:t>E. 6</w:t>
      </w:r>
    </w:p>
    <w:p>
      <w:r>
        <w:t>Selon le recourant, l'arrêt attaqué serait également arbitraire s'agissant de la fixation de la contribution d'entretien. Il soutient que l'autorité cantonale a méconnu sa capacité contributive réelle, dès lors qu'elle n'a tenu compte ni de sa charge fiscale, qui serait de 876 fr. 85 par mois, ni de ses frais de déplacement accrus entre le domicile de ses parents, où il réside actuellement, et son lieu de travail.</w:t>
      </w:r>
    </w:p>
    <w:p>
      <w:r>
        <w:rPr>
          <w:b/>
        </w:rPr>
        <w:t>E. 6.1</w:t>
      </w:r>
    </w:p>
    <w:p>
      <w:r>
        <w:t>Conformément à l' art. 176 al. 1 ch. 1 CC , le juge fixe la contribution pécuniaire à verser par l'une des parties à l'autre en application de l' art. 163 al. 1 CC ; tant que dure le mariage, les époux sont ainsi tenus de contribuer, chacun selon ses facultés, aux frais supplémentaires engendrés par l'existence parallèle de deux ménages ( ATF 114 II 301 consid. 3a p. 302 et les références citées). Le montant de la contribution d'entretien se détermine en fonction des facultés économiques et des besoins respectifs des époux. En tant que des enfants mineurs sont concernés, le juge ordonne les mesures nécessaires d'après les dispositions sur les effets de la filiation ( art. 173 al. 3 CC ). Selon l' art. 285 al. 1 CC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En vertu du droit à des conditions minimales d'existence garanti par l' art. 12 Cst. ( ATF 121 I 367 consid. 2 p. 370), l'obligation d'entretien trouve sa limite dans la capacité contributive du débirentier, en ce sens que le minimum vital de celui-ci doit être préservé ( ATF 123 III 1 consid. 3b/bb p. 5 et consid. 5 p. 9).</w:t>
      </w:r>
    </w:p>
    <w:p>
      <w:r>
        <w:rPr>
          <w:b/>
        </w:rPr>
        <w:t>E. 6.2</w:t>
      </w:r>
    </w:p>
    <w:p>
      <w:r>
        <w:t>L'arrêt attaqué retient qu'en janvier 2009, l'épouse a réalisé un revenu de 298 fr. 75 en travaillant 18 heures à 18 fr. 20. A partir de février 2009, elle a perçu un salaire net de l'ordre de 650 fr. par mois (représentant 10 heures par semaine au même taux horaire). Compte tenu de ses tâches éducatives et du jeune âge de l'enfant du couple, elle ne saurait être astreinte en l'état à augmenter son taux d'activité. Ses charges mensuelles sont les suivantes: 1'496 fr. (loyer), 239 fr. 40 (assurance maladie), 70 fr. (frais de transport) et 1'250 fr. (entretien de base LP). S'y ajoutent les frais mensuels de l'enfant, à savoir: 69 fr. 50 (assurance maladie), 45 fr. (frais de transport), 75 fr. (frais d'animation parascolaire), 350 fr. (entretien de base LP). Le total des charges de la mère et de l'enfant s'élève ainsi à un montant de l'ordre de 3'600 fr. Par conséquent, il manque à l'épouse une somme approximative de 3'300 fr. pour janvier 2009 et de 2'950 fr. dès février 2009.</w:t>
      </w:r>
    </w:p>
    <w:p>
      <w:r>
        <w:t>Le mari réalise quant à lui, depuis le début de l'année 2009, un salaire mensuel net de 9'017 fr. 90 pour des charges de 1'414 fr. (244 fr. d'assurance maladie + 70 fr. de frais de transport + 1'110 fr. d'entretien de base LP). Il ne supporte aucuns frais de logement puisqu'il habite chez ses parents, et ne se prévaut pas de ses impôts. Après paiement de ses charges, il dispose donc encore d'une somme de l'ordre de 7'600 fr. par mois (9'017 fr. 90 - 1'414 fr.), ce qui lui permettrait, le cas échéant, de prendre un logement à bail.</w:t>
      </w:r>
    </w:p>
    <w:p>
      <w:r>
        <w:t>Appliquant la méthode dite du minimum vital, la Cour de justice a estimé que la répartition de l'excédent à raison d'un tiers pour le mari et de deux tiers pour l'épouse et l'enfant procurerait aux débirentiers un niveau de vie supérieur à celui dont ils bénéficiaient durant la vie commune, car le solde disponible du mari, d'environ 7'600 fr. par mois, provenait en partie du fait qu'il ne supportait actuellement pas de frais de logement. Par conséquent, il convenait de répartir le solde disponible par moitié entre les parties. La contribution d'entretien devait ainsi être fixée à 2'725 fr. pour janvier 2009, dans la mesure où la séparation des parties datait du 15 de ce mois, et à 5'275 fr., arrondis à 5'300 fr., dès février 2009, sous déduction des montants payés directement ou versés en mains de l'épouse.</w:t>
      </w:r>
    </w:p>
    <w:p>
      <w:r>
        <w:rPr>
          <w:b/>
        </w:rPr>
        <w:t>E. 6.3</w:t>
      </w:r>
    </w:p>
    <w:p>
      <w:r>
        <w:t>Le recourant ne remet pas en question la méthode du minimum vital appliquée par la cour cantonale, ni ne prétend (bien qu'il se réfère par analogie à l' art. 125 CC ) que l'épouse devrait travailler davantage. Il se plaint d'arbitraire dans l'établissement de ses charges, ses impôts et ses frais de déplacement accrus, selon lui, en raison du fait qu'il habite chez ses parents, n'ayant pas été pris en compte.</w:t>
      </w:r>
    </w:p>
    <w:p>
      <w:r>
        <w:t>En ce qui concerne sa charge fiscale, le recourant ne prétend pas que le montant et le paiement effectif de celle-ci auraient été dûment allégués et prouvés en instance cantonale, étant rappelé que, selon la Cour de justice, il ne s'en est pas prévalu. Or, les juges précédents ne sauraient se voir reprocher d'avoir violé le principe de la maxime inquisitoire à ce sujet (cf. supra, consid. 4). Dans la mesure où il est suffisamment motivé, le grief apparaît donc infondé; au demeurant, la prise en considération du montant mensuel de 876 fr. 85 invoqué par le recourant ne porterait pas atteinte à son minimum vital.</w:t>
      </w:r>
    </w:p>
    <w:p>
      <w:r>
        <w:t>Quant aux frais de déplacement entre le domicile de ses parents, où il réside actuellement, et son lieu de travail, il incombait au recourant de soulever cette question en procédure cantonale - nonobstant le principe de la maxime inquisitoire applicable à l'entretien de l'enfant (cf. supra, consid. 4) -, ce qu'il ne prétend pas avoir fait. Il n'indique pas non plus quel montant devrait être comptabilisé à ce titre. Dans ces conditions, il ne démontre pas que la Cour de justice aurait fait preuve d'arbitraire en arrêtant ses frais de déplacement à 70 fr. par mois.</w:t>
      </w:r>
    </w:p>
    <w:p>
      <w:r>
        <w:rPr>
          <w:b/>
        </w:rPr>
        <w:t>E. 7</w:t>
      </w:r>
    </w:p>
    <w:p>
      <w:r>
        <w:t>En conclusion, le recours se révèle mal fondé et doit par conséquent être rejeté, dans la mesure où il est recevable. Le recourant, qui succombe, supportera ainsi les frais judiciaires ( art. 66 al. 1 LTF ). Il n'y a pas lieu d'allouer de dépens à l'intimée, qui n'a pas été invitée à répondre sur le fond et qui a conclu au rejet de la requête d'effet suspensif, alors que celle-ci a été admise au sens des motifs; les conditions de l'assistance judiciaire n'étant pas remplies ( art. 64 al. 1 et 2 LTF ), dès lors que sa position sur l'effet suspensif était d'emblée dénuée de chance de succès, le conseil de l'intimée n'a pas droit à une indemnité d'avocat d'office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