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5A_797/2018 vom 26. September 2018</w:t>
      </w:r>
    </w:p>
    <w:p>
      <w:r>
        <w:t>Bundesgericht, 2018-09-26, DE</w:t>
      </w:r>
    </w:p>
    <w:p>
      <w:r>
        <w:rPr>
          <w:b/>
        </w:rPr>
        <w:t xml:space="preserve">Quelle: </w:t>
      </w:r>
      <w:r>
        <w:t>https://mcp.opencaselaw.ch/entscheid/bger_5A_797_2018</w:t>
      </w:r>
    </w:p>
    <w:p>
      <w:r>
        <w:t>FR: TF 5A_797/2018 du 26 septembre 2018</w:t>
      </w:r>
    </w:p>
    <w:p>
      <w:r>
        <w:t>IT: TF 5A_797/2018 del 26 settembre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die Aufforderung, sein Land zu besuchen, um die beschriebene illegale Arbeit seiner Nachbarn zu sehen. Dies kommt sinngemäss einem Antrag auf Augenschein gleich und stellt kein konkretes Rechtsbegehren in der Sache dar; ebenso wenig stellen die Anliegen, es müssten alle Dinge von seinem Land entfernt und ihm eine Entschädigung ausgerichtet werden, konkrete bzw. bezifferte Begehren dar.</w:t>
      </w:r>
    </w:p>
    <w:p>
      <w:r>
        <w:t>Sodann mangelt es auch an einer sachgerichteten Auseinandersetzung mit den Ausführungen des angefochtenen Entscheides. Insbesondere müsste dargelegt werden, inwiefern die Nichteintretenserwägungen (namentlich diejenigen zu den Begründungsanforderungen bei erstinstanzlichen Alternativbegründungen und zum Fehlen einer gültigen Klagebewilligung für die geänderte Klage) gegen Recht verstossen sollen und das Obergericht die Berufung materiell hätte behandeln müssen. Hierzu genügen die allgemeinen Ausführungen zum Verfahren vor dem Friedensrichteramt und vor dem Obergericht nicht.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