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795/2020 vom 29. März 2021</w:t>
      </w:r>
    </w:p>
    <w:p>
      <w:r>
        <w:t>Bundesgericht, 2021-03-29, FR</w:t>
      </w:r>
    </w:p>
    <w:p>
      <w:r>
        <w:rPr>
          <w:b/>
        </w:rPr>
        <w:t xml:space="preserve">Quelle: </w:t>
      </w:r>
      <w:r>
        <w:t>https://mcp.opencaselaw.ch/entscheid/bger_5A_795_2020</w:t>
      </w:r>
    </w:p>
    <w:p>
      <w:r>
        <w:t>FR: TF 5A 795/2020 du 29 mars 2021</w:t>
      </w:r>
    </w:p>
    <w:p>
      <w:r>
        <w:t>IT: TF 5A 795/2020 del 29 marzo 2021</w:t>
      </w:r>
    </w:p>
    <w:p>
      <w:pPr>
        <w:pStyle w:val="Heading2"/>
      </w:pPr>
      <w:r>
        <w:t>Regeste</w:t>
      </w:r>
    </w:p>
    <w:p>
      <w:r>
        <w:t>modification de mesures provisionnelles (contribution d'entretien) | Droit de la famille</w:t>
      </w:r>
    </w:p>
    <w:p>
      <w:pPr>
        <w:pStyle w:val="Heading2"/>
      </w:pPr>
      <w:r>
        <w:t>Erwägungen</w:t>
      </w:r>
    </w:p>
    <w:p>
      <w:r>
        <w:rPr>
          <w:b/>
        </w:rPr>
        <w:t>E. 1</w:t>
      </w:r>
    </w:p>
    <w:p>
      <w:r>
        <w:t>Déposé en temps utile ( art. 100 al. 1 LTF ) et dans la forme légale ( art. 42 al. 1 LTF ), le recours est dirigé contre une décision finale ( art. 90 LTF ; ATF 134 III 426 consid. 2.2) rendue sur recours par une autorité supérieure statuant en dernière instance cantonale ( art. 75 al. 1 LTF ), dans une affaire matrimoniale ( art. 72 al. 1 LTF ) de nature pécuniaire dont la valeur litigieuse - qui se détermine par les conclusions restées litigieuses devant l'autorité précédente ( art. 51 al. 1 let. a et al. 4 LTF ) - atteint le seuil de 30'000 fr. ( art. 74 al. 1 let. b LTF ). La recourante a participé à la procédure devant l'autorité précédente et a un intérêt digne de protection à la modification ou l'annulation de la décision entreprise ( art. 76 al. 1 let. a et b LTF ). Le recours est donc en principe recevable au regard des dispositions qui précèdent.</w:t>
      </w:r>
    </w:p>
    <w:p>
      <w:r>
        <w:rPr>
          <w:b/>
        </w:rPr>
        <w:t>E. 2.1</w:t>
      </w:r>
    </w:p>
    <w:p>
      <w:r>
        <w:t>Comme la décision entreprise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142 III 364 consid. 2.4; 140 III 264 consid. 2.3; 139 II 404 consid. 10.1 et les arrêts cités). D'après la jurisprudence, une décision est arbitraire ( art. 9 Cst. ) lorsqu'elle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140 III 264 consid. 2.3 et les références).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145 IV 154 consid. 1.1; 141 IV 249 consid. 1.3.1; 140 III 264 consid. 2.3 et les références).</w:t>
      </w:r>
    </w:p>
    <w:p>
      <w:r>
        <w:rPr>
          <w:b/>
        </w:rPr>
        <w:t>E. 3</w:t>
      </w:r>
    </w:p>
    <w:p>
      <w:r>
        <w:t>La question à examiner est de savoir si, lorsque des conclusions concernant l'entretien sont dirigées contre une partie au bénéfice d'une assistance financière de la part de l'Etablissement Vaudois d'Accueil des Migrants (EVAM), ce dernier est subrogé dans les droits du bénéficiaire et dispose de la légitimation passive à ses côtés. Dans le cadre de l'appel interjeté par l'époux contre l'ordonnance du 17 janvier 2020, ce point avait déjà été soulevé par l'épouse, laquelle concluait à l'irrecevabilité de l'appel au motif qu'il aurait dû être dirigé également contre l'EVAM, ce qui n'avait pas été le cas. Dans l'arrêt querellé, l'autorité cantonale a considéré qu'en l'espèce, l'EVAM ne disposait pas de la légitimation passive. Elle a appuyé sa motivation sur l'art. 27 de la loi vaudoise sur l'aide aux requérants d'asile et à certaines catégories d'étrangers (LARA; BLV 142.21) ainsi que sur l' art. 289 al. 2 CC , dont il ressort que la prétention à la contribution d'entretien passe avec tous les droits qui lui sont rattachés à la collectivité publique lorsque celle-ci assume l'entretien de l'enfant. Elle a retenu qu'à l'appui de sa demande de divorce du 29 mai 2018, l'épouse avait produit une attestation indiquant que son fils C.________ et elle-même étaient assistés financièrement par l'EVAM, à tout le moins depuis le 28 mars 2018. La contribution d'entretien de l'enfant avait été arrêtée par jugement du 24 juillet 2019 et confirmée en deuxième instance. Or, il ne ressortait pas des décomptes produits par l'épouse que l'EVAM effectuerait des avances sur la contribution d'entretien due à l'enfant et cet établissement assumait bien plutôt une prise en charge totale (financière et en nature) de l'épouse et de son enfant, indépendamment de toute contribution d'entretien. En cas de non-paiement de la contribution d'entretien, il appartenait ainsi à l'épouse de saisir le Bureau de recouvrement et d'avances de pensions alimentaires (BRAPA), ce qu'elle n'avait pas fait. Dans ces conditions, l' art. 289 al. 2 CC ne trouvait pas application, de sorte que l'époux n'avait pas à attraire l'EVAM dans le cadre de la procédure de première instance et de la procédure d'appel.</w:t>
      </w:r>
    </w:p>
    <w:p>
      <w:r>
        <w:rPr>
          <w:b/>
        </w:rPr>
        <w:t>E. 4</w:t>
      </w:r>
    </w:p>
    <w:p>
      <w:r>
        <w:t>Dans un premier grief, la recourante se plaint d'arbitraire ( art. 9 Cst. ) dans l'appréciation des faits, sans toutefois expliquer en quoi le fait allégué - à savoir qu'elle et son fils étaient intégralement pris en charge financièrement, sans discontinuer, du 28 mars 2018 au 30 juin 2020 et que la prise en charge allait perdurer - aurait une influence sur le résultat de la décision. Il suit de là que la critique est irrecevable, faute de motivation suffisante (cf. supra consid. 2.2).</w:t>
      </w:r>
    </w:p>
    <w:p>
      <w:r>
        <w:rPr>
          <w:b/>
        </w:rPr>
        <w:t>E. 5.1</w:t>
      </w:r>
    </w:p>
    <w:p>
      <w:r>
        <w:t>La recourante fait ensuite valoir une violation de son droit d'être entendue au sens de l' art. 29 al. 2 Cst. , en tant que l'arrêt attaqué serait trop sommairement motivé s'agissant de la différence de traitement qui devrait exister entre, d'une part, les avances fournies selon les art. 131 al. 1 et 290 al. 2 CC, à savoir par le BRAPA dans le canton de Vaud, et, d'autre part, celles fournies selon les art. 131a al. 2 et 289 al. 2 CC, à savoir par la collectivité publique. Elle soutient que l'argumentation de l'autorité cantonale à cet égard résiderait " en deux phrases " ne permettant pas de comprendre pour quelles raisons la collectivité publique devrait être traitée différemment du BRAPA.</w:t>
      </w:r>
    </w:p>
    <w:p>
      <w:r>
        <w:rPr>
          <w:b/>
        </w:rPr>
        <w:t>E. 5.2</w:t>
      </w:r>
    </w:p>
    <w:p>
      <w:r>
        <w:t>La jurisprudence a déduit du droit d'être entendu consacré par l' art. 29 al. 2 Cst. l'obligation pour le juge de motiver ses décisions. L'autorité n'a toutefois pas l'obligation d'exposer et de discuter tous les faits, moyens de preuve et griefs invoqués par les parties, mais elle peut au contraire se limiter à ceux qui, sans arbitraire, lui paraissent pertinents (parmi plusieurs: ATF 143 III 65 consid. 5.2; 142 II 154 consid. 4.2; 134 I 83 consid. 4.1). Savoir si la motivation présentée est convaincante est une question distincte de celle du droit à une décision motivée. Dès lors que l'on peut discerner les motifs qui ont guidé le juge, le droit à une décision motivée est respecté (arrêt 4A_344/2018 du 27 février 2019 consid. 2.3.1; cf. ATF 126 I 97 consid. 2c). Une autorité judiciaire ne commet un déni de justice formel prohibé par l' art. 29 al. 2 Cst. que si elle omet de se prononcer sur des griefs qui présentent une certaine pertinence ou de prendre en considération des allégués et arguments importants pour la décision à rendre ( ATF 143 III 65 consid. 5.2; 142 II 154 consid. 4.2; 141 V 557 consid. 3.2.1).</w:t>
      </w:r>
    </w:p>
    <w:p>
      <w:r>
        <w:rPr>
          <w:b/>
        </w:rPr>
        <w:t>E. 5.3</w:t>
      </w:r>
    </w:p>
    <w:p>
      <w:r>
        <w:t>Contrairement à ce que semble penser la recourante, et comme cela ressort de la jurisprudence précitée (cf. supra consid. 5.2), le droit d'être entendu n'a pas pour vocation de contraindre le juge à examiner de manière détaillée toutes les dispositions légales invoquées en procédure. Dès lors qu'en l'espèce, l'autorité cantonale a traité la question de la légitimation passive de l'EVAM en exposant les raisons pour lesquelles elle était exclue, elle a satisfait à son obligation de motiver sa décision. La recourante a du reste bien compris les motifs cantonaux dès lors que, dans son recours, elle reproche à la juridiction précédente d'avoir considéré que la légitimation passive résultant de l' art. 289 al. 2 CC ne s'imposerait qu'en cas d'avances sur pensions alimentaires fournies par le BRAPA. Il s'ensuit que le grief tiré de la violation de l' art. 29 al. 2 Cst. doit être rejeté.</w:t>
      </w:r>
    </w:p>
    <w:p>
      <w:r>
        <w:rPr>
          <w:b/>
        </w:rPr>
        <w:t>E. 6</w:t>
      </w:r>
    </w:p>
    <w:p>
      <w:r>
        <w:t>Autre est la question de savoir si la motivation cantonale, notamment l'interprétation faite par l'autorité précédente de l' art. 289 al. 2 CC , violerait un droit constitutionnel, ce qu'il appartient à la recourante de démontrer. A cet égard, l'intéressée se plaint de la violation des art. 166 CO , 131a al. 2 et 289 al. 2 CC qui, selon elle, concerneraient également l'EVAM. Elle n'invoque toutefois ni ne motive la violation d'un droit fondamental dans l'application de ces dispositions, de sorte que son grief est irrecevable (cf. supra consid. 2.1).</w:t>
      </w:r>
    </w:p>
    <w:p>
      <w:r>
        <w:rPr>
          <w:b/>
        </w:rPr>
        <w:t>E. 7</w:t>
      </w:r>
    </w:p>
    <w:p>
      <w:r>
        <w:t>En définitive, le recours est rejeté dans la mesure où il est recevable. Le recours étant d'emblée voué à l'échec, la requête d'assistance judiciaire de la recourante ne saurait être agréée ( art. 64 al. 1 LTF ). Les frais judiciaires sont mis à la charge de la recourante, qui succombe ( art. 66 al. 1 LTF ). Il n'est pas alloué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