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5A_795/2018 vom 26. September 2018</w:t>
      </w:r>
    </w:p>
    <w:p>
      <w:r>
        <w:t>Bundesgericht, 2018-09-26, DE</w:t>
      </w:r>
    </w:p>
    <w:p>
      <w:r>
        <w:rPr>
          <w:b/>
        </w:rPr>
        <w:t xml:space="preserve">Quelle: </w:t>
      </w:r>
      <w:r>
        <w:t>https://mcp.opencaselaw.ch/entscheid/bger_5A_795_2018</w:t>
      </w:r>
    </w:p>
    <w:p>
      <w:r>
        <w:t>FR: TF 5A_795/2018 du 26 septembre 2018</w:t>
      </w:r>
    </w:p>
    <w:p>
      <w:r>
        <w:t>IT: TF 5A_795/2018 del 26 settembre 2018</w:t>
      </w:r>
    </w:p>
    <w:p>
      <w:pPr>
        <w:pStyle w:val="Heading2"/>
      </w:pPr>
      <w:r>
        <w:t>Erwägungen</w:t>
      </w:r>
    </w:p>
    <w:p>
      <w:r>
        <w:rPr>
          <w:b/>
        </w:rPr>
        <w:t>E. 1</w:t>
      </w:r>
    </w:p>
    <w:p>
      <w:r>
        <w:t>Dem Anliegen der Beschwerdeführerin, die 30-tägige Beschwerdefrist zu erstrecken, kann nicht entsprochen werden, weil diese eine gesetzliche und damit unerstreckbare Frist ist (vgl. Art. 47 Abs. 1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 enthält weder ein Rechtsbegehren noch eine sachgerichtete Auseinandersetzung mit den sehr ausführlichen Erwägungen im angefochtenen Entscheid zum Schwächezustand bzw. zur Schutzbedürftigkeit sowie zur Notwendigkeit bzw. Verhältnismässigkeit der verfügten Massnahmen, sondern einen kurzen Überblick zur eigenen Lebensgeschichte sowie die Aussagen, sie sei geheilt und könne ihre üblichen Besorgungen nicht machen, wenn sie keinen Zugang zu ihren Konten habe.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