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5A_791/2022 vom 26. Januar 2023</w:t>
      </w:r>
    </w:p>
    <w:p>
      <w:r>
        <w:t>Bundesgericht, 2023-01-26, FR</w:t>
      </w:r>
    </w:p>
    <w:p>
      <w:r>
        <w:rPr>
          <w:b/>
        </w:rPr>
        <w:t xml:space="preserve">Quelle: </w:t>
      </w:r>
      <w:r>
        <w:t>https://mcp.opencaselaw.ch/entscheid/bger_5A_791_2022</w:t>
      </w:r>
    </w:p>
    <w:p>
      <w:r>
        <w:t>FR: TF 5A_791/2022 du 26 janvier 2023</w:t>
      </w:r>
    </w:p>
    <w:p>
      <w:r>
        <w:t>IT: TF 5A_791/2022 del 26 gennaio 2023</w:t>
      </w:r>
    </w:p>
    <w:p>
      <w:pPr>
        <w:pStyle w:val="Heading2"/>
      </w:pPr>
      <w:r>
        <w:t>Erwägungen</w:t>
      </w:r>
    </w:p>
    <w:p>
      <w:r>
        <w:rPr>
          <w:b/>
        </w:rPr>
        <w:t>E. 1</w:t>
      </w:r>
    </w:p>
    <w:p>
      <w:r>
        <w:t>Le recours est dirigé contre une décision finale ( art. 90 LTF ) de nature non pécuniaire, prise par un tribunal cantonal supérieur statuant sur recours ( art. 75 al. 1 et 2 LTF ), dans le domaine de la protection de l'enfant (art. 72 al. 2 let. b ch. 6 LTF). Interjeté en temps utile ( art. 100 al. 1 LTF ) et en la forme prévue par la loi ( art. 42 LTF ), par une partie qui a pris part à la procédure devant l'autorité précédente ( art. 76 al. 1 let. a LTF ), qui est particulièrement touchée par la décision attaquée et qui dispose d'un intérêt digne de protection à l'annulation ou à la modification de la décision attaquée en tant qu'elle conclut à la suppression de la mesure de curatelle ( art. 76 al. 1 let. b LTF ), le présent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précité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t>En matière d'appréciation des preuves et d'établissement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w:t>
      </w:r>
    </w:p>
    <w:p>
      <w:r>
        <w:t>Selon l' art. 99 al. 1 LTF , aucun fait nouveau ni preuve nouvelle ne peut être présenté à moins de résulter de la décision de l'autorité précédente. Il appartient à la partie recourante de démontrer que les conditions de cette exception sont remplies ( ATF 143 V 19 consid. 1.2).</w:t>
      </w:r>
    </w:p>
    <w:p>
      <w:r>
        <w:t>En l'espèce, le recourant n'identifie nullement dans les annexes à son recours les pièces nouvelles qu'il entend soumettre au Tribunal fédéral, pas plus qu'il ne démontre que ces pièces seraient recevables au regard de l' art. 99 LTF . Ainsi, à l'exception des pièces qui déterminent la recevabilité du recours, comme la procuration (arrêt 8C_547/2018 du 14 juin 2019 consid. 2.3 et la référence), et celles de procédure, comme les décisions et les procès-verbaux, qui font manifestement déjà partie du dossier cantonal, les autres ne peuvent pas être prises en considération.</w:t>
      </w:r>
    </w:p>
    <w:p>
      <w:r>
        <w:rPr>
          <w:b/>
        </w:rPr>
        <w:t>E. 3</w:t>
      </w:r>
    </w:p>
    <w:p>
      <w:r>
        <w:t>Des mesures probatoires devant le Tribunal fédéral ( art. 55 LTF ) ne sont qu'exceptionnellement ordonnées dans une procédure de recours, dès lors que le Tribunal fédéral statue et conduit en principe son raisonnement juridique sur la base des faits établis par l'autorité précédente (cf.</w:t>
      </w:r>
    </w:p>
    <w:p>
      <w:r>
        <w:t>supra , consid. 2.2) ( ATF 136 II 101 consid. 2; arrêt 5A_1068/2021 du 30 août 2022 consid 2.3). De telles mesures probatoires sont par exemple concevables sur des points liés à la conduite ou au déroulement même de la procédure de recours (FRÉSARD, in: Commentaire de la LTF, 3e éd., 2022, n° 15 ad art. 55 LTF ).</w:t>
      </w:r>
    </w:p>
    <w:p>
      <w:r>
        <w:t>À titre de moyen de preuve, le recourant sollicite la production des rapports d'intervention de la police, des signalements de la brûlure du pouce de l'un de ses enfants, des divers rapports d'expertise psychiatrique de la mère, B.________ (ci-après : l'intimée), et des condamnations judiciaires de celle-ci. Le dossier ne fait cependant apparaître aucun élément dont on puisse inférer des circonstances exceptionnelles justifiant une mesure d'instruction devant le Tribunal fédéral et le recourant n'en invoque pas non plus. Il s'ensuit qu'il n'y a pas lieu de donner suite à sa requête.</w:t>
      </w:r>
    </w:p>
    <w:p>
      <w:r>
        <w:rPr>
          <w:b/>
        </w:rPr>
        <w:t>E. 4</w:t>
      </w:r>
    </w:p>
    <w:p>
      <w:r>
        <w:t>L'autorité cantonale a tout d'abord relevé, s'agissant de la recevabilité du recours déposé par le père, que, bien que les ch. 12 à 17 du dispositif de la décision du 11 mai 2022 rendue par l'AIPEA soient contestés, seule la mesure de curatelle éducative ( art. 308 al. 1 CC ), sous son aspect de guidance parentale et de contrôle du suivi thérapeutique des enfants, serait examinée, son recours étant au surplus irrecevable, faute de motivation topique. Sur le fond, reprenant les constatations de l'AIPEA émanant de la décision précitée, l'autorité précédente a relevé que le développement des deux enfants était compromis en raison des désaccords existant entre les parents. Leur mésentente - au sujet notamment de la prise en charge médicale des intéressés et de leurs besoins - plaçait ceux-ci dans un conflit de loyauté et était source d'insécurité. A ce sujet, l'autorité cantonale a rappelé dans la partie fait de son arrêt, qu'à teneur de la décision de l'AIPEA, C.________ et D.________ avaient besoin de traitements thérapeutiques et de nouveaux bilans, le premier présentant des troubles de l'adaptation avec perturbation des autres émotions, et le second souffrant notamment de difficultés au niveau de la motricité fine, d'un retard dans l'acquisition de la marche, de troubles au niveau du langage partiellement résolus, et de troubles mixtes du développement. Elle a ensuite ajouté que la communication limitée à des échanges de messages, telle que décrite par le recourant, ne pouvait être qualifiée d'idéale pour des parents en charge d'enfants souffrant de troubles nécessitant un suivi thérapeutique spécifique. L'autorité précédente a ainsi considéré qu'il était indispensable que les parents réussissent à collaborer pour le bien-être des enfants, cette capacité constituant un élément essentiel des compétences éducatives. Entendus par l'OPE, les enfants avaient d'ailleurs appelé de leurs voeux une amélioration de la situation. Pour le surplus, l'autorité cantonale a exposé que les parents n'étaient manifestement pas en mesure de remédier eux-mêmes à la situation et avaient besoin d'être orientés et soutenus par les conseils de spécialistes. Partant, elle a confirmé l'institution d'une curatelle éducative en vue d'une guidance parentale et d'un contrôle du suivi thérapeutique des enfants.</w:t>
      </w:r>
    </w:p>
    <w:p>
      <w:r>
        <w:rPr>
          <w:b/>
        </w:rPr>
        <w:t>E. 5.1</w:t>
      </w:r>
    </w:p>
    <w:p>
      <w:r>
        <w:t>Le recourant fait grief à l'autorité précédente d'avoir violé les art. 12 CDE , 6 CEDH et 314a CC, dès lors que ses enfants n'auraient pas été entendus personnellement par les autorités, que ce soit en première ou en deuxième instance, alors que leur âge le permettait. Seul un intervenant de l'OPE dans le cadre de l'enquête sociale aurait procédé à leur audition.</w:t>
      </w:r>
    </w:p>
    <w:p>
      <w:r>
        <w:rPr>
          <w:b/>
        </w:rPr>
        <w:t>E. 5.2</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l'instance précédente (arrêts 5A_564/2021 du 21 février 2022 consid. 2.3; 4A_40/2021 du 10 juin 2021 consid. 3.2 et les références, publié in SJ 2021 I p. 451).</w:t>
      </w:r>
    </w:p>
    <w:p>
      <w:r>
        <w:rPr>
          <w:b/>
        </w:rPr>
        <w:t>E. 5.3</w:t>
      </w:r>
    </w:p>
    <w:p>
      <w:r>
        <w:t>En l'espèce, il ne résulte pas de l'arrêt attaqué, et le recourant ne prétend pas le contraire, que le grief relatif au défaut d'audition des enfants par l'autorité de première instance aurait été présenté devant l'autorité cantonale. Faute de respecter le principe de l'épuisement des griefs ( art. 75 al. 1 LTF ), il ne sera pas entré en matière sur ce point.</w:t>
      </w:r>
    </w:p>
    <w:p>
      <w:r>
        <w:rPr>
          <w:b/>
        </w:rPr>
        <w:t>E. 6.1</w:t>
      </w:r>
    </w:p>
    <w:p>
      <w:r>
        <w:t>Le recourant reproche ensuite à l'autorité précédente de n'avoir pas suffisamment motivé la décision entreprise - qui confirme l'institution d'une mesure de curatelle éducative ( art. 308 al. 1 CC ) en faveur des deux enfants -, car elle constaterait de fait, sans discussion ni analyse sérieuse, que le développement de ceux-ci serait menacé.</w:t>
      </w:r>
    </w:p>
    <w:p>
      <w:r>
        <w:rPr>
          <w:b/>
        </w:rPr>
        <w:t>E. 6.2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5A_1065/2020 du 2 décembre 2021 consid. 8.2; 5A_612/2019 du 10 septembre 2021 consid. 3.1).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précité consid. 5.2; 142 II 154 consid. 4.2;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6.3</w:t>
      </w:r>
    </w:p>
    <w:p>
      <w:r>
        <w:t>En l'espèce, en tant que le recourant soutient que l'autorité cantonale n'aurait pas suffisamment motivé sa décision, on comprend qu'il dénonce la violation de son droit d'être entendu sous l'angle du droit à une décision motivée ( art. 29 al. 2 Cst. ). Contrairement à ce qu'il fait valoir, les motifs retenus par l'autorité précédente permettent de comprendre les raisons pour lesquelles le développement des deux enfants a été tenu pour menacé. En effet, elle a en substance expliqué que la prise en charge médicale des enfants et leurs besoins faisaient l'objet de désaccords entre les parents, ce que le père ne contestait pas, et que cette mésentente plaçait les enfants dans un conflit de loyauté et était pour eux une source d'insécurité. Or pour leur bien-être, il était indispensable que les parents réussissent à collaborer (cf.</w:t>
      </w:r>
    </w:p>
    <w:p>
      <w:r>
        <w:t>supra , consid. 4). Cette motivation est ainsi suffisante au regard des exigences de l' art. 29 al. 2 Cst. , étant relevé que le point de savoir si cette motivation est ou non convaincante est une question distincte de celle du droit d'être entendu (cf.</w:t>
      </w:r>
    </w:p>
    <w:p>
      <w:r>
        <w:t>supra consid. 6.2).</w:t>
      </w:r>
    </w:p>
    <w:p>
      <w:r>
        <w:rPr>
          <w:b/>
        </w:rPr>
        <w:t>E. 7.1</w:t>
      </w:r>
    </w:p>
    <w:p>
      <w:r>
        <w:t>Invoquant la violation de l' art. 308 al. 1 CC , le recourant se plaint du fait que l'autorité cantonale n'aurait pas examiné si les mesures de protection ressortant de l' art. 307 al. 1 CC étaient suffisantes ou pas. Elle se serait, selon lui, contentée de confirmer ce que l'AIPEA avait relevé, à savoir que les parents n'étaient manifestement pas en mesure de remédier à la situation par eux-mêmes et qu'ils avaient besoin d'être orientés et soutenus par les conseils de spécialistes. Le recourant soutient être capable de remédier seul à la situation, ayant toujours veillé à la sécurité physique et affective de ses enfants, entretenant une communication presque exclusivement écrite avec l'intimée et ne répondant pas aux provocations. Il allègue que ce serait en raison de ses capacités que l'AIPEA lui aurait confié l'autorité parentale exclusive, faisant du prononcé de la curatelle éducative une contradiction. Il émet encore diverses considérations relatives à l'intimée, notamment sur la prise en charge de ses problèmes psychiques, le non-respect de ses engagements lors de l'exercice de ses relations personnelles et les deux interventions de police qui ont suivi. Il allègue enfin que la mesure litigieuse se fonderait exclusivement sur la " mésentente dans la coparentalité " et que des événements importants s'étant produits dernièrement auraient été négligés.</w:t>
      </w:r>
    </w:p>
    <w:p>
      <w:r>
        <w:rPr>
          <w:b/>
        </w:rPr>
        <w:t>E. 7.2</w:t>
      </w:r>
    </w:p>
    <w:p>
      <w:r>
        <w:t>Selon l' art. 308 al. 1 CC , lorsque les circonstances l'exigent, l'autorité de protection de l'enfant nomme un curateur qui assiste les père et mère de ses conseils et de son appui dans la prise en charge de l'enfant (al. 1). L'institution d'une curatelle au sens de l' art. 308 CC suppose d'abord, comme toute mesure de protection de l'enfant (cf. art. 307 al. 1 CC ), que le développement de celui-ci soit menacé. L'application des mesures de protection est également régie par le principe de la proportionnalité - pierre angulaire du système de protection civile de l'enfant - qui se traduit dans la loi par une gradation de l'intervention, qui va de la mesure la plus légère à la mesure la plus lourde. Celle-ci doit être apte à atteindre le but visé et nécessaire à cette fin; dans l'examen de la relation but/moyen (proportionnalité au sens étroit), elle ne doit pas paraître excessive par rapport à l'objectif fixé (arrêt 5A_983/2019 du 13 novembre 2020 consid. 9.1 et les références). Un certain nombre de sous-principes mettent en lumière ses diverses facettes (arrêt 5A_662/2022 du 17 novembre 2022 consid. 4.2 et les références). Conformément au principe de subsidiarité, ce danger ne doit pas pouvoir être prévenu par les père et mère eux-mêmes, ni par les mesures plus limitées de l' art. 307 CC . Selon le principe de l'adéquation, l'intervention active d'un conseiller doit apparaître appropriée pour atteindre ce but ( ATF 140 III 241 consid. 2.1 et les références).</w:t>
      </w:r>
    </w:p>
    <w:p>
      <w:r>
        <w:rPr>
          <w:b/>
        </w:rPr>
        <w:t>E. 7.3</w:t>
      </w:r>
    </w:p>
    <w:p>
      <w:r>
        <w:t>On relèvera en premier lieu qu'il ne sera pas tenu compte des diverses considérations émises par le recourant concernant l'intimée dans la mesure où celui-ci s'écarte des faits constatés dans la décision attaquée. Il en va de même lorsqu'il allègue que l'autorité intimée lui aurait attribué l'autorité parentale exclusive.</w:t>
      </w:r>
    </w:p>
    <w:p>
      <w:r>
        <w:t>Contrairement à ce que fait valoir le recourant - pour autant que l'on comprenne son grief - l'autorité précédente a bel et bien examiné le principe de subsidiarité. En parallèle à la mesure de protection de l' art. 307 al. 3 CC instituée par décision du 11 mai 2022 (cf. ch. 18 du dispositif), exhortant le recourant à poursuivre les suivis thérapeutiques entrepris par ses deux enfants, l'autorité cantonale a considéré qu'une intervention supplémentaire et d'un niveau supérieur - à savoir par le biais d'un curateur assumant un rôle actif dans la guidance parentale et la surveillance du suivi thérapeutique des enfants - était nécessaire, au vu des désaccords constatés. Il a également été relevé que les parents n'étaient manifestement pas en mesure de remédier eux-mêmes à la situation et avaient besoin d'être orientés et soutenus par les conseils de spécialistes.</w:t>
      </w:r>
    </w:p>
    <w:p>
      <w:r>
        <w:t>Quant à la critique relative à la " mésentente dans la coparentalité ", elle n'est nullement motivée. Le recourant n'expose en effet pas en quoi l'autorité cantonale aurait méconnu le droit en retenant que les désaccords existant entre la mère des enfants et lui-même constituaient un critère suffisant pour retenir que le développement des enfants était menacé. Il ne précise pas non plus quels seraient les événements qui auraient été omis par l'autorité précédente. Faute de motivation suffisante, le grief est irrecevable ( art. 42 al. 2 LTF ).</w:t>
      </w:r>
    </w:p>
    <w:p>
      <w:r>
        <w:t>La critique du recourant tend en réalité à substituer sa propre appréciation à celle de l'autorité cantonale. Son argumentation, essentiellement appellatoire, n'est ainsi pas de nature à démontrer que l'autorité précédente aurait violé le droit fédéral et abusé du large pouvoir dont elle dispose en la matière ( art. 4 CC ). Le grief doit donc être rejeté dans la mesure de sa recevabilité.</w:t>
      </w:r>
    </w:p>
    <w:p>
      <w:r>
        <w:rPr>
          <w:b/>
        </w:rPr>
        <w:t>E. 8</w:t>
      </w:r>
    </w:p>
    <w:p>
      <w:r>
        <w:t>En conclusion, le recours doit être rejeté dans la mesure de sa recevabilité,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