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5A_791/2015 vom 8. Oktober 2015</w:t>
      </w:r>
    </w:p>
    <w:p>
      <w:r>
        <w:t>Bundesgericht, 2015-10-08, DE</w:t>
      </w:r>
    </w:p>
    <w:p>
      <w:r>
        <w:rPr>
          <w:b/>
        </w:rPr>
        <w:t xml:space="preserve">Quelle: </w:t>
      </w:r>
      <w:r>
        <w:t>https://mcp.opencaselaw.ch/entscheid/bger_5A_791_2015</w:t>
      </w:r>
    </w:p>
    <w:p>
      <w:r>
        <w:t>FR: TF 5A_791/2015 du 8 octobre 2015</w:t>
      </w:r>
    </w:p>
    <w:p>
      <w:r>
        <w:t>IT: TF 5A_791/2015 del 8 ottobre 2015</w:t>
      </w:r>
    </w:p>
    <w:p>
      <w:pPr>
        <w:pStyle w:val="Heading2"/>
      </w:pPr>
      <w:r>
        <w:t>Erwägungen</w:t>
      </w:r>
    </w:p>
    <w:p>
      <w:r>
        <w:rPr>
          <w:b/>
        </w:rPr>
        <w:t>E. 1</w:t>
      </w:r>
    </w:p>
    <w:p>
      <w:r>
        <w:t>Am 15. Juli 2015 ordnete die Kindes- und Erwachsenenschutzbehörde (KESB) Seeland über A.A.________ (geb. 1972; Betroffene) eine Vertretungsbeistandschaft mit Einkommens- und Vermögensverwaltung an und ernannte einen Beistand. Dagegen reichte B.A.________, welche als Verfahrensbeteiligte bezeichnet wird, am 15. August 2015 beim Obergericht des Kantons Bern, Zivilabteilung, Kindes- und Erwachsenenschutzgericht, einen Antrag auf Ergänzung des Kammerentscheids der Kindes- und Erwachsenenschutzbehörde vom 15. Juli 2015 ein. Am 15. August 2015 ersuchte die Betroffene um Erstreckung der Beschwerdefrist. Das Obergericht stellte am 26. August 2015 fest, die Betroffene habe den erstinstanzlichen Entscheid am 16. Juli 2015 entgegengenommen, womit die Beschwerdefrist "bis am 16. August 2015 gelaufen sei". Die Beschwerdeführerinnen hätten daher keine Möglichkeit, ihre Eingaben innerhalb der Beschwerdefrist zu ergänzen. Damit auf die Beschwerde eingetreten werden könne, müsse sie Anträge und eine Begründung enthalten. Die Eingaben der beiden Beschwerdeführerinnen widersprächen diesen Vorschriften, sodass darauf nicht einzutreten sei. Die Betroffene, A.A.________, hat am 24. September 2015 (Postaufgabe: 1. Oktober 2015) beim Bundesgericht Beschwerde erhoben.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Die Beschwerdeführerin möchte zwar Beschwerde führen; ihre Eingabe enthält aber weder einen konkreten Antrag noch eine Begründung. Es wird in keiner Weise auf die Erwägungen des angefochtenen Entscheids Bezug genommen. Auf die offensichtlich unzulässige und nicht hinreichend begründete Beschwerde ist somit im vereinfachten Verfahren durch den Präsidenten der Abteilung (Art. 108 Abs. 1 bzw. Art. 108 Abs. 1 lit. a und b BGG ) nicht einzutreten.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