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5A_789/2018 vom 1. Oktober 2018</w:t>
      </w:r>
    </w:p>
    <w:p>
      <w:r>
        <w:t>Bundesgericht, 2018-10-01, FR</w:t>
      </w:r>
    </w:p>
    <w:p>
      <w:r>
        <w:rPr>
          <w:b/>
        </w:rPr>
        <w:t xml:space="preserve">Quelle: </w:t>
      </w:r>
      <w:r>
        <w:t>https://mcp.opencaselaw.ch/entscheid/bger_5A_789_2018</w:t>
      </w:r>
    </w:p>
    <w:p>
      <w:r>
        <w:t>FR: TF 5A_789/2018 du 1 octobre 2018</w:t>
      </w:r>
    </w:p>
    <w:p>
      <w:r>
        <w:t>IT: TF 5A_789/2018 del 1 ottobre 2018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12 décembre 2017, la Banque B.________ a requis la mainlevée provisoire de l'opposition formée par A.________ au commandement de payer n° xx xxxxxx x de l'Office des poursuites de Genève; la poursuite est fondée sur un acte de défaut de biens après faillite délivré le 12 février 1999 dans lequel la poursuivie a reconnu la créance. Par jugement du 11 mai 2018, le Tribunal de première instance de Genève a levé provisoirement l'opposition.</w:t>
      </w:r>
    </w:p>
    <w:p>
      <w:r>
        <w:rPr>
          <w:b/>
        </w:rPr>
        <w:t>E. 1.2</w:t>
      </w:r>
    </w:p>
    <w:p>
      <w:r>
        <w:t>Le 1er juin 2018, la poursuivie a recouru contre ce jugement.</w:t>
      </w:r>
    </w:p>
    <w:p>
      <w:r>
        <w:t>Par décision du 11 juin 2018, la Chambre civile de la Cour de justice du canton de Genève a imparti à l'intéressée un délai au 1er juillet 2018pour verser une avance de frais de 750 fr.; cette somme n'ayant pas été payée, elle lui a fixé, le 9 juillet 2018, un ultime délai au 20 juillet 2018 pour s'exécuter, sous peine d'irrecevabilité du recours. L'avance a été effectuée le 9 août 2018.</w:t>
      </w:r>
    </w:p>
    <w:p>
      <w:r>
        <w:rPr>
          <w:b/>
        </w:rPr>
        <w:t>E. 1.3</w:t>
      </w:r>
    </w:p>
    <w:p>
      <w:r>
        <w:t>Par arrêt du 17 août 2018, la Chambre civile de la Cour de justice a déclaré le recours irrecevable en raison du paiement tardif de l'avance de frais. Par surabondance, elle a considéré qu'il serait manifestement infondé. Elle a constaté que l'opposition au commandement de payer faite le 15 novembre 2017 n'était pas motivée et que l'opposition pour non-retour à meilleure fortune soulevée à l'audience de mainlevée du 11 mai 2018 était tardive, ce dont la poursuivie avait, par ailleurs, pris bonne note. Partant, c'est à juste titre que le premier juge a accordé la mainlevée provisoire.</w:t>
      </w:r>
    </w:p>
    <w:p>
      <w:r>
        <w:rPr>
          <w:b/>
        </w:rPr>
        <w:t>E. 2</w:t>
      </w:r>
    </w:p>
    <w:p>
      <w:r>
        <w:t>Par écriture expédiée le 21 septembre 2018, la poursuivie interjette un recours au Tribunal fédéral.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Dirigé contre une décision déclarant irrecevable un recours contre un jugement prononçant la mainlevée provisoire, le présent recours doit être traité en tant que recours en matière civile ( art. 72 al. 2 let. a LTF , en relation avec l' art. 82 al. 1 LP ), étant précisé que la valeur litigieuse minimale de 30'000 fr. est atteinte ( art. 74 al. 1 let. b LTF ).</w:t>
      </w:r>
    </w:p>
    <w:p>
      <w:r>
        <w:rPr>
          <w:b/>
        </w:rPr>
        <w:t>E. 4</w:t>
      </w:r>
    </w:p>
    <w:p>
      <w:r>
        <w:t>Selon la jurisprudence constante, lorsque la décision attaquée repose sur plusieurs motifs indépendants et suffisants pour sceller le sort de la cause, il incombe à la partie recourante de démontrer que chacun d'eux viole le droit ( ATF 142 III 364 consid. 2.4 et les références); ce principe vaut, en particulier, lorsque la juridiction cantonale a déclaré le recours principalement irrecevable et subsidiairement mal fondé ( ATF 139 II 233 consid. 3.2 et les citations).</w:t>
      </w:r>
    </w:p>
    <w:p>
      <w:r>
        <w:t>Or, en l'espèce, la recourante critique - en se prévalant de l'arrêt publié aux ATF 138 III 163 - le motif d'irrecevabilité du recours en raison du non-versement à temps de l'avance de frais, mais elle ne réfute pas le motif subsidiaire pris de la tardiveté de son opposition pour non-retour à meilleure fortune.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). La recourante n'a pas expressément sollicité le bénéfice de l'assistance judiciaire devant le Tribunal fédéral; la requête qu'elle a formée en première instance ne s'étend pas à la présente procédure ( ATF 122 III 392 consid. 3a). Quoi qu'il en soit, une éventuelle demande eût été rejetée, vu l'absence de chances de succès du recours ( art. 64 al. 1 LTF ). Cela étant, les frais incombent à la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