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788/2020 vom 17. Mai 2021</w:t>
      </w:r>
    </w:p>
    <w:p>
      <w:r>
        <w:t>Bundesgericht, 2021-05-17, FR</w:t>
      </w:r>
    </w:p>
    <w:p>
      <w:r>
        <w:rPr>
          <w:b/>
        </w:rPr>
        <w:t xml:space="preserve">Quelle: </w:t>
      </w:r>
      <w:r>
        <w:t>https://mcp.opencaselaw.ch/entscheid/bger_5A_788_2020</w:t>
      </w:r>
    </w:p>
    <w:p>
      <w:r>
        <w:t>FR: TF 5A 788/2020 du 17 mai 2021</w:t>
      </w:r>
    </w:p>
    <w:p>
      <w:r>
        <w:t>IT: TF 5A 788/2020 del 17 maggio 2021</w:t>
      </w:r>
    </w:p>
    <w:p>
      <w:pPr>
        <w:pStyle w:val="Heading2"/>
      </w:pPr>
      <w:r>
        <w:t>Regeste</w:t>
      </w:r>
    </w:p>
    <w:p>
      <w:r>
        <w:t>rapport de voisinage, nuisances sonores | Droits réels</w:t>
      </w:r>
    </w:p>
    <w:p>
      <w:pPr>
        <w:pStyle w:val="Heading2"/>
      </w:pPr>
      <w:r>
        <w:t>Erwägungen</w:t>
      </w:r>
    </w:p>
    <w:p>
      <w:r>
        <w:rPr>
          <w:b/>
        </w:rPr>
        <w:t>E. 1</w:t>
      </w:r>
    </w:p>
    <w:p>
      <w:r>
        <w:t>Le Tribunal fédéral examine d'office la recevabilité des recours qui lui sont soumis ( ATF 145 II 168 consid. 1; 144 II 184 consid. 1).</w:t>
      </w:r>
    </w:p>
    <w:p>
      <w:r>
        <w:rPr>
          <w:b/>
        </w:rPr>
        <w:t>E. 1.1</w:t>
      </w:r>
    </w:p>
    <w:p>
      <w:r>
        <w:t>Le recours est dirigé contre une décision finale ( art. 90 LTF ), rendue dans une affaire civile ( art. 72 al. 1 LTF ) de nature pécuniaire. Le recours en matière civile n'est ainsi recevable que si la valeur litigieuse s'élève au moins à 30'000 fr. ( art. 74 al. 1 let. b LTF ; ATF 140 III 391 consid. 1.3) ou, à défaut, si la contestation soulève une question juridique de principe ( art. 74 al. 2 let. a LTF ).</w:t>
      </w:r>
    </w:p>
    <w:p>
      <w:r>
        <w:rPr>
          <w:b/>
        </w:rPr>
        <w:t>E. 1.1.1</w:t>
      </w:r>
    </w:p>
    <w:p>
      <w:r>
        <w:t>En cas de recours contre une décision finale, ce sont les conclusions restées litigieuses devant l'autorité précédente qui déterminent la valeur litigieuse ( art. 51 al. 1 let. a LTF ), les frais judiciaires réclamés comme droits accessoires n'entrant pas en ligne de compte dans sa détermination ( art. 51 al. 3 LTF ).</w:t>
      </w:r>
    </w:p>
    <w:p>
      <w:r>
        <w:rPr>
          <w:b/>
        </w:rPr>
        <w:t>E. 1.1.2</w:t>
      </w:r>
    </w:p>
    <w:p>
      <w:r>
        <w:t>Le recourant affirme que la valeur litigieuse atteindrait 34'940 fr. en se référant à l'arrêt querellé. Selon cette dernière décision, la valeur à laquelle se réfère le recourant correspond à la valeur litigieuse de ses conclusions en première instance, à savoir le montant cumulé des frais liés aux travaux d'isolation que l'intéressé souhaitait voir effectuer dans son appartement - à savoir: 63 m² x 200 fr./m² -, dans celui de l'intimée - à savoir: (48 m² x 200 fr./m²) + (9 m² x 60 fr. /m²) - et dans le garage - à savoir: 200 fr. -, des coûts de la nouvelle expertise acoustique - à savoir: 6'500 fr. -, de ses frais de relogement durant les travaux - à savoir: 2'500 fr. - et de l'indemnité pour tort moral - à savoir: 3'000 fr. -. L'intégralité de ses frais n'était cependant plus réclamée devant le Tribunal cantonal. Devant cette dernière instance, les conclusions relatives à l'administration d'une nouvelle expertise acoustique à l'issue des travaux d'isolation phonique, aux frais de relogement et à l'indemnité pour tort moral, toutes trois refusées par le premier juge, ont en effet été abandonnées par le recourant devant la juridiction d'appel. Devant cette dernière autorité, celui-ci s'est en effet limité à réclamer la prise en charge des travaux d'isolation phonique dans son propre appartement et la pose d'un revêtement mou sur le parquet flottant du bureau situé dans l'appartement de l'intimée; celle-ci a conclu au rejet de la demande. Même si le rejet des prétentions en dommages et intérêts et en réparation du tort moral, non traitées dans l'arrêt cantonal, a néanmoins été repris dans son dispositif (ch. 3), il faut ainsi admettre, en se référant aux chiffres arrêtés par l'instance précédente, non contestés par le recourant, que la valeur litigieuse atteint 22'940 fr. (34'940 fr. - 6'500 fr. - 2'500 fr. - 3'000 fr.). L'on précisera en tant que besoin que la répartition des frais relatifs à la procédure de la preuve à futur, contestée par le recourant devant l'instance précédente, ne constitue pas un élément du dommage à indemniser sur la base de l' art. 679 CC mais relève de la répartition des frais selon les art. 104 ss CPC et n'entre ainsi pas en considération pour déterminer la valeur litigieuse ( art. 51 al. 3 LTF ; cf. ATF 140 III 30 consid. 3.5).</w:t>
      </w:r>
    </w:p>
    <w:p>
      <w:r>
        <w:rPr>
          <w:b/>
        </w:rPr>
        <w:t>E. 1.2</w:t>
      </w:r>
    </w:p>
    <w:p>
      <w:r>
        <w:t>En tant que la valeur litigieuse n'est pas atteinte et vu l'absence manifeste de question juridique de principe (sur cette notion: ATF 146 II 276 consid. 1.2.1; 141 III 159 consid. 1.2 et les arrêts cités), le recours en matière civile est irrecevable.</w:t>
      </w:r>
    </w:p>
    <w:p>
      <w:r>
        <w:rPr>
          <w:b/>
        </w:rPr>
        <w:t>E. 1.3</w:t>
      </w:r>
    </w:p>
    <w:p>
      <w:r>
        <w:t>Le recourant se plaint en l'occurrence essentiellement d'arbitraire dans l'établissement des faits ( art. 9 Cst. ). Ce grief peut être invoqué dans le cadre d'un recours constitutionnel subsidiaire, dont les conditions de recevabilité sont ici réalisées (art. 75 et 114, art. 90 et 117, art. 100 al. 1 et 117; art. 115 LTF ). Le recours de l'intéressé sera ainsi traité comme tel.</w:t>
      </w:r>
    </w:p>
    <w:p>
      <w:r>
        <w:rPr>
          <w:b/>
        </w:rPr>
        <w:t>E. 2.1</w:t>
      </w:r>
    </w:p>
    <w:p>
      <w:r>
        <w:t>Le recours constitutionnel peut être exclusivement formé pour violation des droits constitutionnels ( art. 116 LTF ). Le Tribunal fédéral n'examine que les griefs expressément soulevés et motivés conformément au principe d'allégation ( art. 106 al. 2 LTF , applicable en vertu du renvoi de l' art. 117 LTF ). Le recourant doit indiquer quel droit ou principe constitutionnel a été violé par l'autorité précédente et dans quelle mesure, en présentant une argumentation claire et circonstanciée ( ATF 145 I 121 consid. 2.1 et les références); des critiques simplement appellatoires ne sont pas admissibles ( ATF 143 II 283 consid. 1.2.2; 142 III 364 consid. 2.4).</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et les références).</w:t>
      </w:r>
    </w:p>
    <w:p>
      <w:r>
        <w:rPr>
          <w:b/>
        </w:rPr>
        <w:t>E. 3</w:t>
      </w:r>
    </w:p>
    <w:p>
      <w:r>
        <w:t>Le recourant se plaint de l'établissement arbitraire des faits sur différents points. Ayant méconnu la voie de droit qui lui était ouverte devant la Cour de céans, il se limite essentiellement à déduire succinctement de cette critique une mauvaise application du droit, sans invoquer la violation de droits constitutionnels, singulièrement l'arbitraire dans l'application du droit fédéral. Ce dernier grief n'est invoqué qu'en lien avec les constatations factuelles relatives au " hall " et " séjour " du deuxième étage, en sorte que seul l'arbitraire de celles-ci seront examinées, à l'exclusion de celle concernant le bureau.</w:t>
      </w:r>
    </w:p>
    <w:p>
      <w:r>
        <w:rPr>
          <w:b/>
        </w:rPr>
        <w:t>E. 3.1</w:t>
      </w:r>
    </w:p>
    <w:p>
      <w:r>
        <w:t>Le recourant reproche au Tribunal cantonal d'avoir considéré séparément le hall et le séjour du 2ème étage alors que l'expert les aurait pourtant volontairement considéré comme un seul local, les deux espaces étant ouverts l'un vers l'autre. Les mesures du bruit de choc et du bruit aérien étaient ainsi identiques dans les deux espaces et ne respectaient pas les exigences de la norme SIA 181, en sorte que la cour cantonale aurait dû astreindre l'intimée à la mise en conformité de cet espace: le recourant en déduit qu'il était dès lors arbitraire de lui faire supporter les travaux entrepris par l'intimée et de le " condamner à subir " les nuisances sonores qu'ils généraient.</w:t>
      </w:r>
    </w:p>
    <w:p>
      <w:r>
        <w:rPr>
          <w:b/>
        </w:rPr>
        <w:t>E. 3.1.1</w:t>
      </w:r>
    </w:p>
    <w:p>
      <w:r>
        <w:t>Il n'apparaît d'abord pas évident, en référence aux pages de l'expertise citées par le recourant, que l'acousticien aurait traité les pièces susmentionnées comme un espace unique. Dans sa motivation relative à la pièce du hall, la cour cantonale a relevé que tant l'art. 32 al. 3 de l'ordonnance sur la protection contre le bruit (OPB; RS 814.41) que la norme SIA 181 n'imposaient l'obligation de respecter les valeurs limites qu'en cas de transformations importantes: or l'expert avait établi, sans que le recourant le critique, que les travaux effectués par l'intimée dans le hall du deuxième étage n'étaient pas significatifs au niveau de l'acoustique. A cela s'ajoutaient que, dans le cas des constructions anciennes, les transformations devaient au moins ne pas dégrader l'acoustique du bâtiment par rapport à l'état initial avant les mesures de transformation (art. 0.1.8 de la norme SIA 181) : une telle dégradation n'était cependant pas établie dans l'espace du hall, ce que le recourant ne discute pas.</w:t>
      </w:r>
    </w:p>
    <w:p>
      <w:r>
        <w:rPr>
          <w:b/>
        </w:rPr>
        <w:t>E. 3.1.2</w:t>
      </w:r>
    </w:p>
    <w:p>
      <w:r>
        <w:t>L'on relèvera ensuite que, à supposer que le hall et le séjour dussent être considérés comme un espace unique, la cour cantonale a retenu, en référence à l'expertise, que les travaux de rénovation effectués dans le salon du deuxième étage n'étaient pas non plus importants au sens des art. 32 OP et de la norme SIA 181. Si, contrairement à la situation prévalant dans le hall du deuxième étage, les aménagements effectués dans le séjour avaient certes conduit à une dégradation de l'acoustique du bâtiment par rapport à l'état initial, la cour cantonale a relevé que D.________ avait procédé à des aménagements depuis lors, sans que le recourant établisse que les nuisances sonores relevées par l'expert en 2015 étaient toujours d'une intensité excédant la norme. A défaut de toute démonstration en ce sens de la part du recourant, il était vraisemblable que ces aménagements (pose de plaques d'isolation phonique et d'un linoléum sur le carrelage) avaient eu une influence positive sur la propagation du bruit.</w:t>
      </w:r>
    </w:p>
    <w:p>
      <w:r>
        <w:rPr>
          <w:b/>
        </w:rPr>
        <w:t>E. 3.1.2.1</w:t>
      </w:r>
    </w:p>
    <w:p>
      <w:r>
        <w:t>Contrairement à ce que soutient le recourant, il n'apparaît pas arbitraire d'avoir pris en considération les travaux effectués par D.________ en août 2016, à savoir entre le dépôt de la requête en conciliation et celui de la demande. Certes, le dépôt de la requête en conciliation, acte introductif d'instance, crée la litispendance ( art. 62 al. 1 CPC ; ATF 140 III 561 consid. 2.2.2.4). C'est néanmoins le dépôt de la demande qui introduit la procédure au fond devant le juge de première instance (cf. art. 220 CPC ) et la litispendance n'empêche pas les parties d'alléguer des faits qui se seraient déroulés postérieurement à sa création. Une limitation quant à l'allégation de faits nouveaux (proprement dits ou improprement dits) n'est prévue en première instance qu'au stade des débats principaux ( art. 229 CPC ), le code de procédure se limitant à indiquer que la demande, tout comme la réponse, doivent contenir les allégations de fait ( art. 221 let . d et 222 al. 2 CPC), sans restriction quant à leur avènement. Dans ces conditions, et en tant que le recourant ne prétend pas que le fait dont il conteste la prise en considération n'aurait été allégué qu'au stade des débats principaux, il n'apparaît pas arbitraire d'avoir tenu compte de ces travaux, même si ceux-ci ont été réalisés après le dépôt de la requête de conciliation.</w:t>
      </w:r>
    </w:p>
    <w:p>
      <w:r>
        <w:rPr>
          <w:b/>
        </w:rPr>
        <w:t>E. 3.1.2.2</w:t>
      </w:r>
    </w:p>
    <w:p>
      <w:r>
        <w:t>Prétendre au demeurant que le bruit aurait perduré, en se bornant à se référer au témoignage de son épouse, ne permet pas au recourant de faire apparaître arbitraire le raisonnement cantonal consistant à admettre la vraisemblance de l'influence positive des aménagements effectués par D.________ sur la propagation du bruit.</w:t>
      </w:r>
    </w:p>
    <w:p>
      <w:r>
        <w:rPr>
          <w:b/>
        </w:rPr>
        <w:t>E. 3.1.3</w:t>
      </w:r>
    </w:p>
    <w:p>
      <w:r>
        <w:t>En définitive, que l'on assimile le hall du deuxième étage au séjour ou qu'il soit traité comme un local individuel n'est pas déterminant: dans les deux cas de figure, le recourant ne démontre pas l'arbitraire dont aurait fait preuve la cour cantonale.</w:t>
      </w:r>
    </w:p>
    <w:p>
      <w:r>
        <w:rPr>
          <w:b/>
        </w:rPr>
        <w:t>E. 3.2</w:t>
      </w:r>
    </w:p>
    <w:p>
      <w:r>
        <w:t>La recourante reproche encore à la cour cantonale d'avoir arbitrairement retenu que l'intimée aurait réalisé ses travaux de rénovation de bonne foi.</w:t>
      </w:r>
    </w:p>
    <w:p>
      <w:r>
        <w:rPr>
          <w:b/>
        </w:rPr>
        <w:t>E. 3.2.1</w:t>
      </w:r>
    </w:p>
    <w:p>
      <w:r>
        <w:t>Cette appréciation a été formulée dans le cadre de la renonciation à prononcer des mesures d'exécution à l'encontre de l'intimée ( art. 343 CPC ). Dans ce contexte, la cour cantonale a notamment relevé que les nuisances dont se plaignait le recourant ne résultaient pas d'actes délibérés de l'intimée mais de travaux de rénovation exécutés en toute bonne foi.</w:t>
      </w:r>
    </w:p>
    <w:p>
      <w:r>
        <w:rPr>
          <w:b/>
        </w:rPr>
        <w:t>E. 3.2.2</w:t>
      </w:r>
    </w:p>
    <w:p>
      <w:r>
        <w:t>Or non seulement le recourant fonde la mauvaise foi de l'intimée sur sa propre appréciation des faits, mais il y fait référence dans une toute autre perspective, assurant que cette prétendue mauvaise foi devrait être prise en compte " notamment dans le cadre de l'analyse de la proportionnalité s'agissant des mesures devant être or d onnées dans le hall " mais également " lors [de] l'allocation des frais et dépens ", renvoyant à ce dernier égard à ces écritures cantonales. Dénuées de motivation suffisante (supra consid. 2), ces critiques ne nécessitent pas que l'on s'y attarde.</w:t>
      </w:r>
    </w:p>
    <w:p>
      <w:r>
        <w:rPr>
          <w:b/>
        </w:rPr>
        <w:t>E. 4</w:t>
      </w:r>
    </w:p>
    <w:p>
      <w:r>
        <w:t>En définitive, le recours, traité comme un recours constitutionnel subsidiaire, doit être rejeté, dans la mesure de sa recevabilité. Les frais judiciaires sont mis à la charge du recourant ( art. 66 al.1 LTF ), sans qu'il soit nécessaire d'allouer à l'intimée une indemnité de dépens dès lors qu'elle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