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5A_788/2015 vom 7. Oktober 2015</w:t>
      </w:r>
    </w:p>
    <w:p>
      <w:r>
        <w:t>Bundesgericht, 2015-10-07, DE</w:t>
      </w:r>
    </w:p>
    <w:p>
      <w:r>
        <w:rPr>
          <w:b/>
        </w:rPr>
        <w:t xml:space="preserve">Quelle: </w:t>
      </w:r>
      <w:r>
        <w:t>https://mcp.opencaselaw.ch/entscheid/bger_5A_788_2015</w:t>
      </w:r>
    </w:p>
    <w:p>
      <w:r>
        <w:t>FR: TF 5A_788/2015 du 7 octobre 2015</w:t>
      </w:r>
    </w:p>
    <w:p>
      <w:r>
        <w:t>IT: TF 5A_788/2015 del 7 ottobre 2015</w:t>
      </w:r>
    </w:p>
    <w:p>
      <w:pPr>
        <w:pStyle w:val="Heading2"/>
      </w:pPr>
      <w:r>
        <w:t>Erwägungen</w:t>
      </w:r>
    </w:p>
    <w:p>
      <w:r>
        <w:rPr>
          <w:b/>
        </w:rPr>
        <w:t>E. 1</w:t>
      </w:r>
    </w:p>
    <w:p>
      <w:r>
        <w:t>Mit Entscheid der Kindes- und Erwachsenenschutzbehörde Basel-Stadt vom 13. Juli 2015 wurde A.________ (Beschwerdeführerin) gestützt auf Art. 426 Abs. 1 ZGB in der psychiatrischen Abteilung des Pflegewohnheims B.________ in U.________ untergebracht. Mit Entscheid vom 25. August 2015, welcher der Beschwerdeführerin am 7. September 2015 zugestellt worden ist, wurde deren Beschwerde gegen die fürsorgerische Unterbringung abgewiesen. Die Beschwerdeführerin gelangt mit Beschwerde vom 24. August 2015 an das Bundesgericht und verlangt sinngemäss die Aufhebung der Massnahme.</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Die Beschwerdeführerin setzt sich mit den Erwägungen des angefochtenen Entscheids überhaupt nicht auseinander und erörtert nicht, inwiefern die Vorinstanz Bundesrecht verletzt oder den Sachverhalt willkürlich oder sonstwie gegen Bundesrecht verstossend festgestellt hat.</w:t>
      </w:r>
    </w:p>
    <w:p>
      <w:r>
        <w:rPr>
          <w:b/>
        </w:rPr>
        <w:t>E. 3</w:t>
      </w:r>
    </w:p>
    <w:p>
      <w:r>
        <w:t>Auf die offensichtlich nicht hinreichend begründete Beschwerde ist somit im vereinfachten Verfahren durch den Präsidenten der Abteilung (Art. 108 Abs. 1 bzw. Art. 108 Abs. 1 lit b BGG ) nicht einzutreten. Den Umständen des konkreten Falles entsprechend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