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787/2016 vom 12. Januar 2017</w:t>
      </w:r>
    </w:p>
    <w:p>
      <w:r>
        <w:t>Bundesgericht, 2017-01-12, FR</w:t>
      </w:r>
    </w:p>
    <w:p>
      <w:r>
        <w:rPr>
          <w:b/>
        </w:rPr>
        <w:t xml:space="preserve">Quelle: </w:t>
      </w:r>
      <w:r>
        <w:t>https://mcp.opencaselaw.ch/entscheid/bger_5A_787_2016</w:t>
      </w:r>
    </w:p>
    <w:p>
      <w:r>
        <w:t>FR: TF 5A 787/2016 du 12 janvier 2017</w:t>
      </w:r>
    </w:p>
    <w:p>
      <w:r>
        <w:t>IT: TF 5A 787/2016 del 12 gennaio 2017</w:t>
      </w:r>
    </w:p>
    <w:p>
      <w:pPr>
        <w:pStyle w:val="Heading2"/>
      </w:pPr>
      <w:r>
        <w:t>Regeste</w:t>
      </w:r>
    </w:p>
    <w:p>
      <w:r>
        <w:t>mesures protectrices de l'union conjugale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 395 s.) rendue sur recours par une autorité supérieure statuant en dernière instance cantonale ( art. 75 al. 1 et 2 LTF ), dans une affaire matrimoniale ( art. 72 al. 1 LTF ) de nature pécuniaire, dont la valeur litigieuse atteint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p. 668; 133 III 393 consid. 5 p. 396 s.,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141 I 36 consid. 1.3 p. 41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p. 566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p. 494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p. 252).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1.2.2 p. 252). Une critique des faits qui ne satisfait pas à cette exigence est irrecevable ( art. 106 al. 2 LTF ; ATF 140 III 264 consid. 2.3 p. 266 et les références). Dans la partie " En fait " de son mémoire, la recourante, qui déclare se référer à " l'exposé des faits contenus dans l'arrêt attaqué ainsi qu'aux faits et pièces figurant dans sa requête en mesures protectrices de l'union conjugale du 23 décembre 2015 et dans son mémoire d'appel du 15 avril 2016, ainsi qu'aux pièces produites ultérieurement par elle-même et par sa partie adverse ", se contente d'exposer sa propre version des faits. En tant que ces éléments complètent ceux constatés dans l'arrêt cantonal et qu'ils ne sont pas critiqués sous l'angle de l'établissement arbitraire des faits ou de l'appréciation arbitraire des preuves, il n'en sera pas tenu compte.</w:t>
      </w:r>
    </w:p>
    <w:p>
      <w:r>
        <w:rPr>
          <w:b/>
        </w:rPr>
        <w:t>E. 3</w:t>
      </w:r>
    </w:p>
    <w:p>
      <w:r>
        <w:t>La cour cantonale a retenu que l'épouse vivait dans un appartement dont le loyer mensuel était de 1'327 fr., charges comprises. Sa prime d'assurance-maladie, LCA comprise, se montait à 688 fr. par mois. Ses seuls revenus étaient sa rente ordinaire de vieillesse, de 1'679 fr. par mois. L'épouse avait toujours assuré son entretien en ayant accès au compte bancaire conjoint du couple. Le 31 juillet 2015, elle avait fait une demande de prestations complémentaires, laquelle avait été refusée en raison de sa participation à une succession. Elle avait formé opposition contre ce refus le 4 avril 2016. La procédure était toujours pendante. Les revenus de l'époux se montaient quant à eux à 5'214 fr. 50, à savoir 1'972 fr. de rente AVS et 3'242 fr. 50 de rente de deuxième pilier. Sa prime d'assurance-maladie était de 442 fr. 40 et ses frais d'EMS de 6'400 fr. par mois. L'époux avait également présenté une demande de prestations complémentaires en juillet 2015. Au vu de ces éléments et en application de la méthode du minimum vital avec répartition de l'excédent, il était établi et non contesté qu'au moment du dépôt de la requête, aucun des conjoints ne parvenait à couvrir ses charges au moyen de ses revenus. Le premier juge avait dès lors à juste titre considéré que le minimum vital du débirentier ne devait pas être entamé et qu'aucune contribution d'entretien ne pouvait être mise à sa charge. Dans ce contexte, il ne se justifiait pas de prendre en compte la situation des époux avant l'entrée en EMS de l'intimé pour déterminer la contribution d'entretien. En effet, cet élément nouveau aurait de toute façon justifié une modification de la mesure prise antérieurement et conduit à la suppression de toute pension. Par ailleurs, les arguments soulevés en lien avec les prestations complémentaires n'étaient pas pertinents et devaient le cas échéant être invoqués dans le cadre du recours contre la décision prise en la matière.</w:t>
      </w:r>
    </w:p>
    <w:p>
      <w:r>
        <w:rPr>
          <w:b/>
        </w:rPr>
        <w:t>E. 4.1</w:t>
      </w:r>
    </w:p>
    <w:p>
      <w:r>
        <w:t>Dans deux griefs séparés qu'il convient toutefois en l'espèce de traiter ensemble, la recourante se plaint de ce que l'autorité cantonale aurait arbitrairement appliqué l' art. 163 CC ainsi que les art. 10 al. 3 let . e LPC et 6 LPCC/GE. En substance, elle soutient qu'en lui refusant le bénéfice d'une contribution d'entretien au motif que le conjoint doit financer ses frais d'EMS, la cour cantonale la placerait dans une situation plus défavorable que celle qui aurait été la sienne si elle avait fait fixer la pension officiellement avant l'entrée de son mari en EMS. Au vu de la législation sur les prestations complémentaires - qui ne supprime pas la pension due au cas où une demande de prestations complémentaires est déposée mais l'inclut dans les charges du débirentier qui doivent être couvertes par lesdites prestations -, il s'imposerait manifestement de faire une exception à la jurisprudence du Tribunal fédéral sur le maintien du minimum vital du débirentier, pour tenir compte de la particularité de la situation des rentiers AVS ou AI, qui ont droit à des prestations complémentaires. En l'espèce, il conviendrait de tenir compte de la " convention implicite " des conjoints, selon laquelle l'épouse avait le droit de puiser dans les revenus du mari versés sur le compte commun pour payer ses charges.</w:t>
      </w:r>
    </w:p>
    <w:p>
      <w:r>
        <w:rPr>
          <w:b/>
        </w:rPr>
        <w:t>E. 4.2.1</w:t>
      </w:r>
    </w:p>
    <w:p>
      <w:r>
        <w:t>Même lorsqu'on ne peut plus sérieusement compter sur la reprise de la vie commune, l' art. 163 CC demeure la cause de l'obligation d'entretien réciproque des époux en mesures protectrices de l'union conjugale ( ATF 140 III 337 consid. 4.2.1 p. 338; 138 III 97 consid. 2.2 p. 98 s.; 137 III 385 consid. 3.1 p. 386 s.). Pour fixer la contribution d'entretien selon l' art. 176 al. 1 ch. 1 CC , le juge doit partir de la convention, expresse ou tacite, que les époux ont conclue au sujet de la répartition des tâches et des ressources entre eux ( art. 163 al. 1 CC ). La loi n'impose pas au juge de méthode de calcul particulière pour fixer la quotité de la contribution d'entretien ( ATF 140 III 337 consid. 4.2.2 p. 339; 128 III 411 consid. 3.2.2 p. 414).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 ATF 127 III 136 consid. 3a p. 141).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 ATF 140 III 337 consid. 4.2.2 p. 339 et les références). Selon cette méthode, lorsque le revenu total des conjoints dépasse leur minimum vital de base du droit des poursuites ( art. 93 LP ), auquel sont ajoutées les dépenses non strictement nécessaires, l'excédent est en règle générale réparti par moitié entre eux ( ATF 121 I 97 consid. 3b p. 100 [mesures provisionnelles pendant la procédure de divorce]; 114 II 26 consid. 7 p. 31). Selon la jurisprudence constante du Tribunal fédéral, le minimum vital du débirentier au sens de l' art. 93 LP doit dans tous les cas être préservé, de sorte qu'un éventuel déficit est supporté uniquement par le crédirentier ( ATF 140 III 337 consid. 4.3 p. 339 s. et les références).</w:t>
      </w:r>
    </w:p>
    <w:p>
      <w:r>
        <w:rPr>
          <w:b/>
        </w:rPr>
        <w:t>E. 4.2.2</w:t>
      </w:r>
    </w:p>
    <w:p>
      <w:r>
        <w:t>En l'espèce, le fait d'avoir tenu compte des frais d'EMS dans les charges de l'intimé n'apparaît pas insoutenable, dès lors qu'il s'agissait - la recourante ne soutenant pas le contraire - d'une charge effective et réellement acquittée au moment de l'introduction de la requête de mesures protectrices de l'union conjugale ( ATF 126 III 89 consid. 3b p. 92 [saisie de revenus]; arrêt 5A_426/2016 du 2 novembre 2016 consid. 4.2 et les références). C'est ainsi sans arbitraire que la cour cantonale a constaté qu'aucun des conjoints ne parvenait à couvrir ses charges au moyen de ses revenus, ce qui empêchait l'intimé de verser une pension à la recourante. Pour le surplus, la recourante ne démontre pas que l'application de la jurisprudence constante sur la garantie du minimum vital du débirentier entraînerait en l'espèce un résultat arbitraire. Son argumentation revient en effet à critiquer les conséquences générales de cette jurisprudence, laquelle déroge au principe selon lequel le crédirentier peut prétendre au même train de vie que le débirentier lorsqu'il n'est pas possible de conserver le niveau de vie antérieur ( ATF 140 III 337 consid. 4.3 p. 339). Autant que recevables (cf. supra consid. 2.1), les griefs sont infondés.</w:t>
      </w:r>
    </w:p>
    <w:p>
      <w:r>
        <w:rPr>
          <w:b/>
        </w:rPr>
        <w:t>E. 5.1</w:t>
      </w:r>
    </w:p>
    <w:p>
      <w:r>
        <w:t>La recourante se plaint ensuite d'arbitraire " quant au renvoi aux démarches administratives pouvant être entreprises auprès des Services des prestations complémentaires ". Selon elle, l'arrêt attaqué, qui paraît déléguer au Service des prestations complémentaires le soin de fixer le montant de la contribution d'entretien, serait en contradiction manifeste avec le principe selon lequel les organes des assurances sociales sont liés par le jugement définitif du juge civil et ne peuvent plus se prononcer indépendamment sur la question tranchée. De ce fait, si le juge civil nie le droit à une contribution d'entretien, le Service des prestations complémentaires perd la compétence pour fixer une telle pension.</w:t>
      </w:r>
    </w:p>
    <w:p>
      <w:r>
        <w:rPr>
          <w:b/>
        </w:rPr>
        <w:t>E. 5.2</w:t>
      </w:r>
    </w:p>
    <w:p>
      <w:r>
        <w:t>En l'occurrence, l'arrêt attaqué se contente d'indiquer que " les arguments en lien avec les prestations complémentaires sont irrelevants et devront cas échéant être invoqués dans le cadre d'un recours contre la décision prise en la matière ". Contrairement à ce que soutient la recourante, il ne ressort nullement de la décision querellée que la juridiction précédente aurait délégué à l'autorité compétente en matière de prestations complémentaires le soin de fixer la pension due à l'épouse. Par conséquent, la critique de la recourante - qui ne précise au demeurant pas quels arguments invoqués lors de la procédure d'appel auraient arbitrairement été écartés par la cour cantonale - ne remplit pas les exigences de motivation susmentionnées, ce qui entraîne son irrecevabilité (cf. supra consid. 2.1).</w:t>
      </w:r>
    </w:p>
    <w:p>
      <w:r>
        <w:rPr>
          <w:b/>
        </w:rPr>
        <w:t>E. 6</w:t>
      </w:r>
    </w:p>
    <w:p>
      <w:r>
        <w:t>La recourante reproche enfin à la cour cantonale d'avoir arbitrairement appliqué l' art. 4 CC et d'avoir violé les art. 8 et 9Cst. Dans la mesure où ces articles sont invoqués sans autre motivation que celle consistant à répéter les arguments examinés ci-dessus (cf. supra consid. 4), la critique de l'épouse est d'emblée irrecevable (cf. supra consid. 2.1).</w:t>
      </w:r>
    </w:p>
    <w:p>
      <w:r>
        <w:rPr>
          <w:b/>
        </w:rPr>
        <w:t>E. 7</w:t>
      </w:r>
    </w:p>
    <w:p>
      <w:r>
        <w:t>En conclusion, le recours est rejeté dans la mesure de sa recevabilité. Les frais judiciaires sont mis à la charge de la recourante, qui succombe ( art. 66 al. 1 LTF ). Il n'est pas alloué de dépens à l'intimé, qui n'a pas été invité à se déterminer ( art. 68 al. 1 et 2 LTF ). Au vu du sort de la cause, il n'y a pas lieu de modifier la répartition des frais et dépens de la procédure cantonale ( art. 67 et 68 al. 5 LTF ), objet d'une conclusion au demeurant non motivée plus avant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