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5A_786/2011 vom 26. Januar 2012</w:t>
      </w:r>
    </w:p>
    <w:p>
      <w:r>
        <w:t>Bundesgericht, 2012-01-26, DE</w:t>
      </w:r>
    </w:p>
    <w:p>
      <w:r>
        <w:rPr>
          <w:b/>
        </w:rPr>
        <w:t xml:space="preserve">Quelle: </w:t>
      </w:r>
      <w:r>
        <w:t>https://mcp.opencaselaw.ch/entscheid/bger_5A_786_2011</w:t>
      </w:r>
    </w:p>
    <w:p>
      <w:r>
        <w:t>FR: TF 5A_786/2011 du 26 janvier 2012</w:t>
      </w:r>
    </w:p>
    <w:p>
      <w:r>
        <w:t>IT: TF 5A_786/2011 del 26 gennaio 2012</w:t>
      </w:r>
    </w:p>
    <w:p>
      <w:pPr>
        <w:pStyle w:val="Heading2"/>
      </w:pPr>
      <w:r>
        <w:t>Erwägungen</w:t>
      </w:r>
    </w:p>
    <w:p>
      <w:r>
        <w:rPr>
          <w:b/>
        </w:rPr>
        <w:t>E. 1</w:t>
      </w:r>
    </w:p>
    <w:p>
      <w:r>
        <w:t>Angefochten ist ein kantonal letztinstanzlicher Nichteintretensentscheid betreffend erstinstanzlich verweigerte Bekanntgabe der Adresse einer Partei im Rechtsöffnungsverfahren. Dieser Nichteintretensentscheid stellt einen Zwischenentscheid dar, was zur Folge hat, dass auch auf die Beschwerde in Zivilsachen nicht eingetreten werden kann, soweit kein nicht wieder gutzumachender Nachteil im Sinn von Art. 93 Abs. 1 lit. a BGG gegeben ist, was sich anhand der Auswirkungen auf die Hauptsache bestimmt (vgl. BGE 137 III 380 E. 1.2.2 S. 383). Dies wird im Folgenden zu prüfen sein.</w:t>
      </w:r>
    </w:p>
    <w:p>
      <w:r>
        <w:rPr>
          <w:b/>
        </w:rPr>
        <w:t>E. 2</w:t>
      </w:r>
    </w:p>
    <w:p>
      <w:r>
        <w:t>Der Beschwerdeführer rügt eine Verletzung von Art. 221 Abs. 1 lit. a ZPO und macht geltend, die Parteien seien in der Klageschrift zu bezeichnen, wozu bei natürlichen Personen u.a. auch die Angabe der Wohnsitzadresse gehöre. Sodann hätten die Parteien nach Art. 53 Abs. 2 ZPO Anspruch auf Akteneinsicht. Grundlos sei sein rechtliches Gehör verweigert worden, da ihm keine Gelegenheit gegeben worden sei, sich zur Frage der Geheimhaltung der Adresse zu äussern. Er habe vor Obergericht dargetan, dass sich die Parteien in einem Scheidungsverfahren befänden und sich die fragliche Rechtsöffnung um angeblich ausstehende Unterhaltsbeiträge drehe und die Angaben der Ehefrau im Scheidungsprozess grösstenteils nicht wahrheitsgemäss seien, weshalb er diese überprüfen müsse und dabei auf die Kenntnis der aktuellen Wohnadresse angewiesen sei. Gemäss Art. 57 ZPO wende der Richter das Recht von Amtes wegen an und das Obergericht hätte demzufolge erkennen müssen, dass die Nichtbekanntgabe der Adresse faktisch eine materielle Verweigerung der Akteneinsicht und damit des rechtlichen Gehörs darstelle. Indem er keine volle Akteneinsicht erhalten habe, trage er einen nicht leicht wieder gutzumachenden Nachteil.</w:t>
      </w:r>
    </w:p>
    <w:p>
      <w:r>
        <w:rPr>
          <w:b/>
        </w:rPr>
        <w:t>E. 2.1</w:t>
      </w:r>
    </w:p>
    <w:p>
      <w:r>
        <w:t>Wie bereits vor Obergericht macht der Beschwerdeführer ausschliesslich Nachteile im Zusammenhang mit dem Scheidungsverfahren und der materiellen Unterhaltsfestsetzung geltend. Selbst wenn die Behauptung, die Beschwerdegegnerin habe dort falsche Angaben gemacht und dies wirke sich auf die Höhe des Unterhaltes aus, zutreffen würde, ist damit noch kein Nachteil mit Bezug auf die definitive Rechtsöffnung dargetan, kann doch in diesem Verfahren schuldnerseits einzig Tilgung, Stundung oder Verjährung (vgl. Art. 81 Abs. 1 SchKG ), nicht aber eine materiell unrichtige Unterhaltsfestsetzung eingewendet werden. Die obergerichtliche Kernerwägung, es sei "nicht ersichtlich, inwiefern dem Beklagten im Rechtsöffnungsverfahren durch die Nichtbekanntgabe der Adresse der Klägerin ein nicht wieder gutzumachender Nachteil entsteht," gilt somit auch für das vorliegend zu fällende Bundesgerichtsurteil.</w:t>
      </w:r>
    </w:p>
    <w:p>
      <w:r>
        <w:rPr>
          <w:b/>
        </w:rPr>
        <w:t>E. 2.2</w:t>
      </w:r>
    </w:p>
    <w:p>
      <w:r>
        <w:t>Nach dem Gesagten kann auf die Beschwerde in Zivilsachen nicht eingetreten werden. Der Vollständigkeit halber sei sodann festgehalten, dass die weiteren Vorwürfe an die Adresse des Obergerichts ohnehin an der Sache vorbeigehen: Was Art. 221 Abs. 1 lit. a ZPO anbelangt, so will die betreffende Norm sicherstellen, dass keine Zweifel über die Identität der Parteien und allfällige Vertreter bestehen (LEUENBERGER, in: Kommentar zur Schweizerischen Zivilprozessordnung, Hrsg. Sutter-Somm/Hasenböhler/Leuenberger, Zürich 2010, N. 15 zu Art. 221 ZPO ). Dass vorliegend solche Zweifel bestünden, macht der Beschwerdeführer nicht geltend; es ist denn auch klar, dass die Ehefrau des Beschwerdeführers definitive Rechtsöffnung verlangt hat. Im Übrigen verhält es sich nicht so, dass sie ihre aktuelle Adresse nicht angegeben hätte. Vielmehr ist diese den kantonalen Gerichten bekannt (was im Rubrum des erst- und oberinstanzlichen Entscheides auch festgehalten wird), aber sie wurde in Gutheissung eines entsprechenden Gesuches dem Beschwerdeführer nicht bekannt gegeben. Inwiefern hierin eine Verletzung von Art. 221 Abs. 1 lit. a ZPO liegen soll, begründet der Beschwerdeführer nicht. Vielmehr hängt er die Problematik in seinen Ausführungen selbst dort auf, wo sie hingehört, nämlich bei der Akteneinsicht: In der Tat geht es inhaltlich um die Frage, ob der Beschwerdeführer umfassend Einsicht in die Akten nehmen und somit auch die den Gerichten bekannte Adresse ersehen darf. Dass und an welcher Stelle der Beschwerdeführer gegenüber den kantonalen Gerichten ein Akteneinsichtsbegehren gestellt hätte, zeigt er aber nicht auf und ein solches ist auch nirgends ersichtlich. Entsprechend geht seine Rüge der Gehörsverweigerung wegen angeblich nicht gewährter Akteneinsicht an der Sache vorbei, war es doch nicht Sache des Obergerichts, den Beschwerdeführer von sich aus einzuladen, von seinem Recht Gebrauch zu machen; eine Verletzung von Art. 57 ZPO ist in diesem Zusammenhang jedenfalls nicht ersichtlich. Vor diesem Hintergrund erübrigen sich sodann Ausführungen zu den Bedingungen der Akteneinsicht, insbesondere zur Frage der überwiegenden Interessen im Sinn von Art. 53 Abs. 1 ZPO , welche einer Einsichtnahme entgegenstehen können. Für den vorliegenden Fall ist einzig relevant, dass der Beschwerdeführer nicht darlegt, inwiefern ihm durch die verweigerte Einsichtnahme mit Blick auf die Rechtsöffnung und das weitere Betreibungsverfahren ein nicht (leicht) wieder gutzumachender Nachteil entstanden wäre.</w:t>
      </w:r>
    </w:p>
    <w:p>
      <w:r>
        <w:rPr>
          <w:b/>
        </w:rPr>
        <w:t>E. 3</w:t>
      </w:r>
    </w:p>
    <w:p>
      <w:r>
        <w:t>Bei vorstehendem Ergebnis ist irrelevant, ob es in der Sache um Rechtsfragen von grundsätzlicher Bedeutung im Sinn von Art. 74 Abs. 2 lit. a BGG gehen würde, wie dies der Beschwerdeführer geltend macht. Sodann ist die subsidiäre Verfassungsbeschwerde nicht gegeben, weil die vorstehend relevante Frage des Nachteils im Zusammenhang mit der Beschwerde in Zivilsachen behandelt wurde.</w:t>
      </w:r>
    </w:p>
    <w:p>
      <w:r>
        <w:rPr>
          <w:b/>
        </w:rPr>
        <w:t>E. 4</w:t>
      </w:r>
    </w:p>
    <w:p>
      <w:r>
        <w:t>Zusammenfassend ergibt sich, dass weder auf die Beschwerde in Zivilsachen noch auf die subsidiäre Verfassungsbeschwerde eingetreten werden kann und die Gerichtskosten folglich dem Beschwerdeführer aufzuerlegen sind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