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785/2020 vom 20. Oktober 2020</w:t>
      </w:r>
    </w:p>
    <w:p>
      <w:r>
        <w:t>Bundesgericht, 2020-10-20, DE</w:t>
      </w:r>
    </w:p>
    <w:p>
      <w:r>
        <w:rPr>
          <w:b/>
        </w:rPr>
        <w:t xml:space="preserve">Quelle: </w:t>
      </w:r>
      <w:r>
        <w:t>https://mcp.opencaselaw.ch/entscheid/bger_5A_785_2020</w:t>
      </w:r>
    </w:p>
    <w:p>
      <w:r>
        <w:t>FR: TF 5A 785/2020 du 20 octobre 2020</w:t>
      </w:r>
    </w:p>
    <w:p>
      <w:r>
        <w:t>IT: TF 5A 785/2020 del 20 ottobre 2020</w:t>
      </w:r>
    </w:p>
    <w:p>
      <w:pPr>
        <w:pStyle w:val="Heading2"/>
      </w:pPr>
      <w:r>
        <w:t>Regeste</w:t>
      </w:r>
    </w:p>
    <w:p>
      <w:r>
        <w:t>Definitive Rechtsöffnung | Schuldbetreibungs- und Konkursrecht</w:t>
      </w:r>
    </w:p>
    <w:p>
      <w:pPr>
        <w:pStyle w:val="Heading2"/>
      </w:pPr>
      <w:r>
        <w:t>Erwägungen</w:t>
      </w:r>
    </w:p>
    <w:p>
      <w:r>
        <w:rPr>
          <w:b/>
        </w:rPr>
        <w:t>E. 1</w:t>
      </w:r>
    </w:p>
    <w:p>
      <w:r>
        <w:t>Mit Entscheid vom 5. August 2020 erteilte das Bezirksgericht Muri "der Gesuchstellerin" (gemeint: dem Kanton Aargau, der Einwohnergemeinde U.________ und deren Kirchgemeinden) gegenüber dem Beschwerdeführer in der Betreibung Nr. xxx des Betreibungsamtes V.________ die definitive Rechtsöffnung für Fr. 69'324.40 nebst Zins. Als Rechtsöffnungstitel diente die definitive Steuerveranlagung für die Kantons-, Gemeinde- und Kirchensteuern 2016. Gegen den Rechtsöffnungsentscheid erhob der Beschwerdeführer am 11. August 2020 Beschwerde beim Obergericht des Kantons Aargau. Mit Entscheid vom 7. September 2020 wies das Obergericht die Beschwerde ab. Gegen diesen Entscheid (sowie einen weiteren; dazu Verfahren 5D_244/2020) hat der Beschwerdeführer am 22. September 2020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Der Beschwerdeführer geht nicht ansatzweise auf die Erwägungen des Obergerichts (Vorliegen eines Rechtsöffnungstitels, Fehlen von Einwendungen nach Art. 81 Abs. 1 SchKG etc.) ein. Im Wesentlichen schildert er bloss den Sachverhalt aus eigener Sicht, insbesondere die Auseinandersetzung mit seinem Bruder um gemeinsame Firmen und diverse Gerichtsverfahren, was den Begründungs- bzw. Rügeanforderungen nicht genügt. Er will mit seiner Beschwerde dem Bundesgericht ein Update hinsichtlich neuer Beweismittel geben. Diese sind nicht zu berücksichtigen, denn neue Tatsachen und Beweismittel sind vor Bundesgericht grundsätzlich unzulässig ( Art. 99 Abs. 1 BGG ). Nicht nachvollziehbar sind seine Ausführungen zu angeblichen Verletzungen von Anzeigepflichten durch die Behörden. Sodann verweist der Beschwerdeführer für die Berechnung der Steuern auf seine vorgängigen Beschwerdeschriften. Darauf ist nicht einzugehen, denn die Begründung muss in der Beschwerde selber enthalten sein und es genügt nicht, auf andere Rechtsschriften oder die Akten zu verweisen ( BGE 143 II 283 E. 1.2.3 S. 286; 138 III 252 E. 3.2 S. 258; 133 II 396 E. 3.1 S. 400). Im Übrigen geht er nicht darauf ein, dass die Steuerberechnung (bzw. die Rechtmässigkeit der Veranlagungsverfügung) nicht Thema des Rechtsöffnungsverfahrens ist, was ihm bereits das Obergericht erläutert hat. Die Beschwerde enthält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