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785/2011 vom 6. Januar 2012</w:t>
      </w:r>
    </w:p>
    <w:p>
      <w:r>
        <w:t>Bundesgericht, 2012-01-06, DE</w:t>
      </w:r>
    </w:p>
    <w:p>
      <w:r>
        <w:rPr>
          <w:b/>
        </w:rPr>
        <w:t xml:space="preserve">Quelle: </w:t>
      </w:r>
      <w:r>
        <w:t>https://mcp.opencaselaw.ch/entscheid/bger_5A_785_2011</w:t>
      </w:r>
    </w:p>
    <w:p>
      <w:r>
        <w:t>FR: TF 5A 785/2011 du 6 janvier 2012</w:t>
      </w:r>
    </w:p>
    <w:p>
      <w:r>
        <w:t>IT: TF 5A 785/2011 del 6 gennaio 2012</w:t>
      </w:r>
    </w:p>
    <w:p>
      <w:pPr>
        <w:pStyle w:val="Heading2"/>
      </w:pPr>
      <w:r>
        <w:t>Regeste</w:t>
      </w:r>
    </w:p>
    <w:p>
      <w:r>
        <w:t>Nichteintretensurteil (aufschiebende Wirkung) | Familienrecht</w:t>
      </w:r>
    </w:p>
    <w:p>
      <w:pPr>
        <w:pStyle w:val="Heading2"/>
      </w:pPr>
      <w:r>
        <w:t>Erwägungen</w:t>
      </w:r>
    </w:p>
    <w:p>
      <w:r>
        <w:rPr>
          <w:b/>
        </w:rPr>
        <w:t>E. 1.1</w:t>
      </w:r>
    </w:p>
    <w:p>
      <w:r>
        <w:t>Angefochten ist ein kantonal letztinstanzlicher Entscheid in einer öffentlich-rechtlichen Angelegenheit ohne Vermögenswert, die in unmittelbarem Zusammenhang mit Zivilrecht steht. Die Verweigerung der aufschiebenden Wirkung ist ein Zwischenentscheid, der einen nicht wieder gutzumachenden Nachteil bewirken kann (vgl. Urteile 5A_17/2007 vom 6. März 2007 E. 2.2; 5A_107/2008 vom 28. März 2008 E. 1.2). Die Beschwerde in Zivilsachen erweist sich mithin als zulässig (Art. 72 Abs. 2 lit. b Ziff. 6, Art. 75 Abs. 1 und Art. 93 Abs. 1 lit. a BGG )</w:t>
      </w:r>
    </w:p>
    <w:p>
      <w:r>
        <w:rPr>
          <w:b/>
        </w:rPr>
        <w:t>E. 1.2</w:t>
      </w:r>
    </w:p>
    <w:p>
      <w:r>
        <w:t>Die Beschwerde wird ausdrücklich im Namen von X.________ geführt, angeblich gestützt auf eine Generalvollmacht handelnd durch ihre Schwiegertochter Y.________ sowie gesetzlich vertreten durch ihren Sohn Z.________; beide haben ihrerseits Rechtsanwalt Frank Hangartner bevollmächtigt.</w:t>
      </w:r>
    </w:p>
    <w:p>
      <w:r>
        <w:rPr>
          <w:b/>
        </w:rPr>
        <w:t>E. 1.2.1</w:t>
      </w:r>
    </w:p>
    <w:p>
      <w:r>
        <w:t>Y.________ beruft sich auf eine von X.________ unterzeichnete Generalvollmacht vom 4. August 2010. Gemäss dem Wortlaut der Vollmacht, der für die Bestimmung des Umfanges derselben massgebend ist, beschränkt sich diese auf Angelegenheiten, "in denen eine rechtsgeschäftliche Vertretung möglich ist." Nun geht es in der Hauptsache um die Entmündigung der Vollmachtgeberin. Diese vormundschaftliche Massnahme ist ein hoheitlicher Akt, der nur von dafür zuständigen Behörden ausgesprochen werden kann ( Art. 373 ZGB ). Wohl ist eine Entmündigung auf eigenes Begehren möglich ( Art. 372 ZGB ), aber diesem kann nur entsprochen werden, wenn die gesetzlichen Voraussetzungen (Urteilsfähigkeit; infolge von Altersschwäche oder anderen Gebrechen oder aus anderen Gründen gegebene Unfähigkeit, die eigenen Angelegenheiten gehörig zu besorgen) erfüllt sind. Eine rechtsgeschäftliche Entledigung der eigenen Mündigkeit ist nicht möglich. Damit kann die Generalvollmacht vom 4. August 2010 auch nicht die Befugnis enthalten haben, im Falle einer zukünftig allenfalls eintretenden Urteilsunfähigkeit der Vollmachtgeberin ein gegen diese gerichtetes Entmündigungsverfahren einzuleiten. Daraus folgt ohne weiteres, dass die angerufene Generalvollmacht auch keine Grundlage für die Mandatierung eines Anwaltes für das Ergreifen eines Rechtsmittels in einem Entmündigungsverfahren hergeben kann. Bei diesem Ergebnis braucht nicht geprüft zu werden, ob X.________ am 29. Dezember 2011 die Vollmacht vom 4. August 2010 gültig widerrufen konnte.</w:t>
      </w:r>
    </w:p>
    <w:p>
      <w:r>
        <w:rPr>
          <w:b/>
        </w:rPr>
        <w:t>E. 1.2.2</w:t>
      </w:r>
    </w:p>
    <w:p>
      <w:r>
        <w:t>Sodann hält Z.________ die bereits im Verfahren 5A_573/2011 vertretene Theorie, wonach er als Sohn "'automatisch' zur Vertretung von [X.________] bevollmächtigt" sei, aufrecht. Aus welcher gesetzlichen Bestimmung das beanspruchte gesetzliche Vertretungsrecht abzuleiten ist, legt er indes nicht dar; ein solches ist und bleibt unerfindlich. Wohl trifft zu, dass "jedermann, der ein Interesse hat," in vormundschaftlichen Verfahren zugunsten einer von einer vormundschaftlichen Massnahme betroffenen Person intervenieren kann ( Art. 420 ZGB ; BGE 137 III 67 E. 3.4 S. 70 ff.). Dass Z.________ im Sinne dieser Bestimmung legitimiert ist, zugunsten seiner Mutter vor Behörden Rechte geltend zu machen und Rechtsmittel zu ergreifen, ist unbestritten und wurde vom Appellationsgericht ausdrücklich anerkannt. Er verkennt allerdings die Bedeutung dieser Berechtigung, wenn er daraus ableitet, er als interessierter Dritter werde gleichsam zum gesetzlichen Vertreter desjenigen, zugunsten dessen interveniert wird.</w:t>
      </w:r>
    </w:p>
    <w:p>
      <w:r>
        <w:rPr>
          <w:b/>
        </w:rPr>
        <w:t>E. 1.2.3</w:t>
      </w:r>
    </w:p>
    <w:p>
      <w:r>
        <w:t>Nach dem Gesagten konnten weder Y.________ noch Z.________ gültig Rechtsanwalt Hangartner mit der Vertretung der Interessen von X.________ beauftragen. Da behauptet wird, letztere sei nicht (mehr) urteilsfähig, erübrigt es sich, eine Frist zur Nachreichung der Vollmacht anzusetzen. Auf die im Namen von X.________ eingereichte Beschwerde ist nicht einzutreten.</w:t>
      </w:r>
    </w:p>
    <w:p>
      <w:r>
        <w:rPr>
          <w:b/>
        </w:rPr>
        <w:t>E. 1.3</w:t>
      </w:r>
    </w:p>
    <w:p>
      <w:r>
        <w:t>Hingegen sind Y.________ (Beschwerdeführerin) und Z.________ (Beschwerdeführer) ohne weiteres zur Beschwerde legitimiert, denn sie haben ein schutzwürdiges Interesse ( Art. 76 Abs. 1 BGG ) an der Überprüfung der dem Bundesgericht unterbreiteten Frage, ob das Appellationsgericht die allein namens von X.________ eingereichte Beschwerde als von ihnen erhobenes Rechtsmittel hätte behandeln müssen.</w:t>
      </w:r>
    </w:p>
    <w:p>
      <w:r>
        <w:rPr>
          <w:b/>
        </w:rPr>
        <w:t>E. 1.4</w:t>
      </w:r>
    </w:p>
    <w:p>
      <w:r>
        <w:t>Ist die Vorinstanz, wie hier, nicht auf ein Rechtsmittel eingetreten, kann sich die Beschwerde an das Bundesgericht von vornherein nicht auf die materielle Beurteilung des vorinstanzlich gestellten Antrages beziehen, sondern nur gegen das Nichteintreten richten. Daher ist auf das principaliter gestellte Begehren nicht einzutreten. Zu prüfen bleibt deshalb nur das Eventualbegehren.</w:t>
      </w:r>
    </w:p>
    <w:p>
      <w:r>
        <w:rPr>
          <w:b/>
        </w:rPr>
        <w:t>E. 2.1</w:t>
      </w:r>
    </w:p>
    <w:p>
      <w:r>
        <w:t>Für das Verfahren hat das Appellationsgericht das kantonale Gesetz über die Verfassungs- und Verwaltungsrechtspflege (VRPG; SG 270.100) angewendet. Es erwog, die Beschwerdeführerin und der Beschwerdeführer seien zwar als Adressaten des angefochtenen Zwischenentscheids und Beschwerdeführende im Verfahren vor dem WSU formell zum Rekurs legitimiert gewesen. Weil sie aber vor dem Appellationsgericht ausdrücklich keine eigene materielle Beschwer geltend gemacht hätten, könne das Rechtsmittel nicht auch als im Namen der Beschwerdeführerin und des Beschwerdeführers erhoben verstanden werden. Das Appellationsgericht hat den Rekurs ausschliesslich als im Namen von X.________ erhoben erachtet und ist darauf nicht eingetreten (E. 1.2.3 des angefochtenen Urteils).</w:t>
      </w:r>
    </w:p>
    <w:p>
      <w:r>
        <w:rPr>
          <w:b/>
        </w:rPr>
        <w:t>E. 2.2</w:t>
      </w:r>
    </w:p>
    <w:p>
      <w:r>
        <w:t>Die behauptete Pflicht, den Rekurs als solchen der Beschwerdeführerin und des Beschwerdeführers entgegenzunehmen, ergäbe sich in erster Linie aus dem kantonalen Verfahrensrecht; ein unmittelbar aus Verfassung oder materiellem Bundesrecht abgeleiteter Anspruch wird weder behauptet noch dargetan und ist im Übrigen auch nicht ersichtlich.</w:t>
      </w:r>
    </w:p>
    <w:p>
      <w:r>
        <w:rPr>
          <w:b/>
        </w:rPr>
        <w:t>E. 2.2.1</w:t>
      </w:r>
    </w:p>
    <w:p>
      <w:r>
        <w:t>Die Anwendung des kantonalen Prozessrechts kann indes nicht direkt bzw. mit voller Kognition, sondern einzig auf Willkür, d.h. auf eine Verletzung von Art. 9 BV hin geprüft werden ( BGE 134 II 349 E. 3 S. 351). Dies setzt - wie im Übrigen generell bei der Geltendmachung von Verfassungsverletzungen - entsprechend substanziierte Rügen voraus ( Art. 106 Abs. 2 BGG ; Rügepflicht). Danach ist im Einzelnen darzulegen, inwiefern das kantonale Gericht willkürlich entschieden haben soll und der angefochtene Entscheid deshalb an einem qualifizierten und offensichtlichen Mangel leidet ( BGE 134 II 244 E. 2.2 S. 246). Nach der bundesgerichtlichen Praxis liegt Willkür nicht schon vor, wenn eine andere Lösung ebenfalls vertretbar erscheint oder sogar vorzuziehen wäre ( BGE 132 I 175 E. 1.2 S. 177 ; 131 I 467 E. 3.1 S. 473 f.; je mit Hinweisen), sondern nur, wenn der angefochtene Entscheid offensichtlich unhaltbar ist, mit der tatsächlichen Situation in klarem Widerspruch steht, eine Norm oder einen unumstrittenen Rechtsgrundsatz krass verletzt oder in stossender Weise dem Gerechtigkeitsgedanken zuwiderläuft. Schliesslich hebt das Bundesgericht einen Entscheid nur auf, wenn nicht bloss die Begründung, sondern auch das Ergebnis unhaltbar ist ( BGE 134 I 140 E. 5.4 S. 148 mit Hinweisen).</w:t>
      </w:r>
    </w:p>
    <w:p>
      <w:r>
        <w:rPr>
          <w:b/>
        </w:rPr>
        <w:t>E. 2.2.2</w:t>
      </w:r>
    </w:p>
    <w:p>
      <w:r>
        <w:t>Die Beschwerdeführer berufen sich zwar auf Art. 9 und Art. 29 Abs. 2 BV , unterlassen es jedoch, den massgeblichen Gesetzesartikel zu benennen bzw. einen unumstrittenen Rechtsgrundsatz anzuführen, der willkürlich angewandt worden sein soll. Damit sieht sich das Bundesgericht von vornherein ausserstande, die Anwendung des kantonalen Verfahrensrechts auf Willkür hin zu prüfen. Auf die Beschwerde kann daher auch unter diesem Gesichtspunkt nicht eingetreten werden.</w:t>
      </w:r>
    </w:p>
    <w:p>
      <w:r>
        <w:rPr>
          <w:b/>
        </w:rPr>
        <w:t>E. 3</w:t>
      </w:r>
    </w:p>
    <w:p>
      <w:r>
        <w:t>Bei diesem Ergebnis unterliegen die Beschwerdeführer und werden kostenpflichtig ( Art. 66 Abs. 1 BGG ); sie haften solidarisch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