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784/2018 vom 8. Januar 2019</w:t>
      </w:r>
    </w:p>
    <w:p>
      <w:r>
        <w:t>Bundesgericht, 2019-01-08, FR</w:t>
      </w:r>
    </w:p>
    <w:p>
      <w:r>
        <w:rPr>
          <w:b/>
        </w:rPr>
        <w:t xml:space="preserve">Quelle: </w:t>
      </w:r>
      <w:r>
        <w:t>https://mcp.opencaselaw.ch/entscheid/bger_5A_784_2018</w:t>
      </w:r>
    </w:p>
    <w:p>
      <w:r>
        <w:t>FR: TF 5A 784/2018 du 8 janvier 2019</w:t>
      </w:r>
    </w:p>
    <w:p>
      <w:r>
        <w:t>IT: TF 5A 784/2018 del 8 gennaio 2019</w:t>
      </w:r>
    </w:p>
    <w:p>
      <w:pPr>
        <w:pStyle w:val="Heading2"/>
      </w:pPr>
      <w:r>
        <w:t>Regeste</w:t>
      </w:r>
    </w:p>
    <w:p>
      <w:r>
        <w:t>contribution d'entretien et prérogatives parentales | Droit de la famille</w:t>
      </w:r>
    </w:p>
    <w:p>
      <w:pPr>
        <w:pStyle w:val="Heading2"/>
      </w:pPr>
      <w:r>
        <w:t>Erwägungen</w:t>
      </w:r>
    </w:p>
    <w:p>
      <w:r>
        <w:rPr>
          <w:b/>
        </w:rPr>
        <w:t>E. 1</w:t>
      </w:r>
    </w:p>
    <w:p>
      <w:r>
        <w:t>Interjeté en temps utile (art. 100 al. 1 et 46 al. 1 let. b LTF) et en la forme prévue par la loi ( art. 42 al. 1 LTF ), le recours est dirigé contre une décision finale ( art. 90 LTF ), prise par un tribunal cantonal supérieur statuant en dernière instance cantonale ( art. 75 al. 1 et 2 LTF ), dans une affaire de nature non pécuniaire dans son ensemble, sujette au recours en matière civile ( art. 72 al. 1 LTF ). Le recourant, qui a succombé devant la juridiction précédente, a qualité pour recourir ( art. 76 al. 1 LTF ). Le recours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III 364 consid. 2.4 et la référence; 142 I 99 consid. 1.7.1). Il doit exister un lien entre la motivation du recours et la décision attaquée ( ATF 134 II 244 consid. 2.1).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 Le grief d'application arbitraire du droit fédéral n'est pas recevable en tant que tel dans un recours en matière civile, en ce sens que saisi d'un tel recours, le Tribunal fédéral examine librement l'application du droit fédéral; cette cognition ne peut pas être restreinte en limitant le contrôle de l'application des lois fédérales à l'arbitraire ( ATF 134 III 379 consid. 1.2; arrêt 5A_348/2017 du 14 septembre 2017 consid. 2.1). Le Tribunal fédéral examine donc avec pleine cognition la violation d'une disposition de droit fédéral que le recourant invoque sous l'angle restreint de l'arbitraire (arrêt 4A_8/2013 du 2 mai 2013 consid. 2.2 non publié aux ATF 139 III 214 ).</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et la référence). Pour être recevable, un grief portant sur l'établissement des faits doit en outre avoir été précédemment soumis à l'instance de recours cantonale, conformément au principe de l'épuisement des griefs ( art. 75 al. 1 LTF ), à défaut de quoi le moyen est considéré comme nouveau et, partant, irrecevable (arrêt 5A_788/2017 du 2 juillet 2018 consid. 2.2.1 et les références citées, non publié aux ATF 144 III 349 ).</w:t>
      </w:r>
    </w:p>
    <w:p>
      <w:r>
        <w:rPr>
          <w:b/>
        </w:rPr>
        <w:t>E. 2.2.2</w:t>
      </w:r>
    </w:p>
    <w:p>
      <w:r>
        <w:t>En l'espèce, le recourant sollicite que le loyer de l'intimée soit retenu à concurrence de 1'100 fr., respectivement 1'500 fr. au maximum (recours, p. 15-16). Il ne ressort toutefois pas des constatations de l'arrêt attaqué - qui lient le Tribunal fédéral - que le recourant se serait plaint devant la Cour de justice du montant du loyer tel qu'arrêté par le premier juge à hauteur de 2'000 fr. par mois dès le 1er février 2017, seules l'intégration du tiers de celui-ci dans les charges de l'enfant et l'absence de prise en compte d'une prétendue participation au loyer de la soeur de l'intimée ayant été discutées en appel (arrêt attaqué, consid. 3.2.2). Dans cette mesure, le recourant est ainsi forclos à critiquer le montant du loyer de l'intimée. Le même traitement doit être réservé aux critiques du recourant portant sur le montant des revenus et charges de l'intimée (recours, p. 17-18), seule l'appréciation de sa fortune ayant été critiquée en appel (cf. arrêt attaqué, loc. cit.). N'échappent ainsi à la nouveauté que les critiques portant sur l'occupation du logement de l'intimée par une autre locataire, prétendument par sa soeur, ainsi que sur le calcul des charges de l'enfant, soit sa participation au loyer - que le recourant voudrait voir limitée à 275 fr. par mois (recours, p. 16 et 21) -, et les frais de garde dont le recourant conteste tant la durée que le montant (recours, p. 18-21). Force est toutefois de constater que la motivation du recours, purement appellatoire, s'épuise en une vaine tentative vouée à l'échec de remettre en cause l'appréciation des preuves sur laquelle reposent les constatations faites par les juges cantonaux. Il s'ensuit que, sur ces points, le recours est irrecevable. Au surplus, l'état de fait présenté sur près de quatre pages (recours, p. 6-9) n'a pas à être pris en compte, dès lors que les éléments qui y figurent divergent de ceux constatés dans l'arrêt querellé et qu'ils ne sont pas discutés de manière conforme sous l'angle de l'établissement arbitraire des faits ou de l'appréciation arbitraire des preuves.</w:t>
      </w:r>
    </w:p>
    <w:p>
      <w:r>
        <w:rPr>
          <w:b/>
        </w:rPr>
        <w:t>E. 2.3</w:t>
      </w:r>
    </w:p>
    <w:p>
      <w:r>
        <w:t>En vertu de l' art. 99 al. 2 LTF , toute conclusion nouvelle - qu'elle soit principale ou subsidiaire (arrêts 5A_228/2018 du 30 avril 2018 consid. 1.2; 5A_758/2013 du 15 avril 2014 consid. 2 non publié aux ATF 140 III 234 ) - est irrecevable. Il n'y a dès lors pas lieu d'entrer en matière sur la conclusion tendant à ce qu'une médiation soit ordonnée.</w:t>
      </w:r>
    </w:p>
    <w:p>
      <w:r>
        <w:rPr>
          <w:b/>
        </w:rPr>
        <w:t>E. 3</w:t>
      </w:r>
    </w:p>
    <w:p>
      <w:r>
        <w:t>Dans un chapitre intitulé " L'intérêt supérieur de l'enfant au sens de la Convention internationale sur les droits de l'enfant ", le recourant reproche aux juges cantonaux de ne pas avoir tenu compte " de l'intérêt de l'enfant, de sa stabilité affective auprès de son père et de son besoin de pouvoir grandir avec [ce dernier] à ses côtés ". La décision querellée serait ainsi " arbitraire car elle se limite à prendre en considération le conflit entre les deux parents sans se préoccuper de l'incidence des décisions prises sur l'avenir de l'enfant non pas à court terme mais à moyen ou long terme ", alors que seul l'intérêt de l'enfant doit primer sur tout autre. Le recourant ajoute notamment qu'il " faut parfois oser prendre des mesures pour favoriser le bon développement d'un enfant qui comprend ses relations affectiveset familiales ". A l'appui de dites affirmations, le recourant cite in extenso , sur près de deux pages, des extraits tirés du " site internet du Comité pour les droits de l'enfant en Suisse ", ainsi que d'un " texte édité sous la direction de Julie Andréet Jean Zermattenen avril 2013 sous le titre: «La Parole de l'enfant en Justice, Parole sacrée?... sacrée parole» ", lequel fait référence aux art. 2, 3, 6 et 12 de la Convention relative aux droits de l'enfant (CDE, RS 0.107). Une telle motivation, toute générale, ne respecte à l'évidence pas les réquisits susrappelés (cf. supra consid. 2.1). Elle est partant irrecevable.</w:t>
      </w:r>
    </w:p>
    <w:p>
      <w:r>
        <w:rPr>
          <w:b/>
        </w:rPr>
        <w:t>E. 4</w:t>
      </w:r>
    </w:p>
    <w:p>
      <w:r>
        <w:t>Sous l'intitulé " Le droit aux relations personnelles (273 CC et Rapport du Conseil fédéral en réponse au postulat CAJ-CN 15.3003 «Garde alternée. Clarification des règles légales et pistes de solution» "), le recourant affirme que ses conclusions tendant à l'instauration d'un droit de visite élargi, qu'il nomme également " garde dite élargie ", sont en ligne avec ledit rapport du Conseil fédéral et correspondent en outre aux besoins de l'enfant tels que retenus par l'expertise rendue à la demande du juge français. Il reproche aux juges précédents d'avoir " versé dans l'arbitraire [en] privilégiant une solution usuelle ", alors que les besoins de l'enfant ainsi que les possibilités et les compétences du parent non gardien plaidaient pour les modalités qu'il préconise. Il apparaissait notamment primordial pour l'enfant, " un garçon de surcroît ", de pouvoir passer du temps supplémentaire avec son père même si, pour le moment, une véritable garde alternée - qu'il aurait idéalement souhaitée - n'était pas envisageable. L'enfant avait " le droit de pouvoir grandir avec ses deux parents à ses côtés qui s'efforceront à l'avenir de lui montrer l'exemple de la coparentalité pour que son modèle de couple par la suite lui permette de nouer des relations équilibrées dans le respect de chacun et de la différence ". Pour le recourant, il " serait inique que cet enfant soit privé de la possibilité de nouer une relation solide avec son père parce qu'elle a été limitée au strict minimum en raison du choix de sa mère de déplacer sa résidence dans le canton de Vaud pour mieux l'éloigner géographiquement de son père et surtout le priver - momentanément - de toute possibilité d'une garde alternée ". Une telle critique revêt un caractère purement appellatoire. Alors que les juges cantonaux ont dûment précisé les motifs justifiant le refus d'une garde alternée et constaté que le recourant n'invoquait aucun élément justifiant la modification de son droit de visite, le recourant se borne à exposer sa propre vision de la cause, comme s'il s'adressait à une juridiction pouvant librement revoir l'affaire dans son ensemble. Il s'ensuit l'irrecevabilité du grief.</w:t>
      </w:r>
    </w:p>
    <w:p>
      <w:r>
        <w:rPr>
          <w:b/>
        </w:rPr>
        <w:t>E. 5</w:t>
      </w:r>
    </w:p>
    <w:p>
      <w:r>
        <w:t>En définitive, le recours est irrecevable. Les frais judiciaires, arrêtés à 1'500 fr., sont mis à la charge du recourant qui succombe ( art. 66 al. 1 LTF ). L'intimée n'ayant pas été invitée à répondre,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