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784/2011 vom 23. März 2012</w:t>
      </w:r>
    </w:p>
    <w:p>
      <w:r>
        <w:t>Bundesgericht, 2012-03-23, DE</w:t>
      </w:r>
    </w:p>
    <w:p>
      <w:r>
        <w:rPr>
          <w:b/>
        </w:rPr>
        <w:t xml:space="preserve">Quelle: </w:t>
      </w:r>
      <w:r>
        <w:t>https://mcp.opencaselaw.ch/entscheid/bger_5A_784_2011</w:t>
      </w:r>
    </w:p>
    <w:p>
      <w:r>
        <w:t>FR: TF 5A 784/2011 du 23 mars 2012</w:t>
      </w:r>
    </w:p>
    <w:p>
      <w:r>
        <w:t>IT: TF 5A 784/2011 del 23 marzo 2012</w:t>
      </w:r>
    </w:p>
    <w:p>
      <w:pPr>
        <w:pStyle w:val="Heading2"/>
      </w:pPr>
      <w:r>
        <w:t>Regeste</w:t>
      </w:r>
    </w:p>
    <w:p>
      <w:r>
        <w:t>Kosten der unentgeltlichen Rechtspflege | Familienrecht</w:t>
      </w:r>
    </w:p>
    <w:p>
      <w:pPr>
        <w:pStyle w:val="Heading2"/>
      </w:pPr>
      <w:r>
        <w:t>Erwägungen</w:t>
      </w:r>
    </w:p>
    <w:p>
      <w:r>
        <w:rPr>
          <w:b/>
        </w:rPr>
        <w:t>E. 1.1</w:t>
      </w:r>
    </w:p>
    <w:p>
      <w:r>
        <w:t>Angefochten ist ein kantonal letztinstanzlicher Entscheid, mit welchem dem Unterhaltsleistungen fordernden Kläger für das Schlichtungsverfahren die unentgeltliche Rechtspflege gewährt und die Beschwerdeführerin zur Übernahme der daraus resultierenden Kosten verpflichtet worden ist. Im Gegensatz zu einem Entscheid über die Gewährung der unentgeltlichen Rechtspflege, der einen Zwischenentscheid darstellt, handelt es sich mit Bezug auf die Beschwerdeführerin um einen das Verfahren abschliessenden Endentscheid ( Art. 90 BGG ). Die Verpflichtung derselben, die Kosten der unentgeltlichen Rechtspflege für das Schlichtungsverfahren zu übernehmen, ist öffentlichrechtlicher Natur. Indes steht der angefochtene Entscheid im Zusammenhang mit der Gewährung des Armenrechts in einem Zivilverfahren, wofür der Zivilrichter zuständig ist. Unter den angeführten Umständen ist davon auszugehen, dass der angefochtene Entscheid in unmittelbarem Zusammenhang mit Zivilrecht steht ( Art. 72 Abs. 2 lit. b BGG ). Die Beschwerde in Zivilsachen steht grundsätzlich offen.</w:t>
      </w:r>
    </w:p>
    <w:p>
      <w:r>
        <w:rPr>
          <w:b/>
        </w:rPr>
        <w:t>E. 1.2</w:t>
      </w:r>
    </w:p>
    <w:p>
      <w:r>
        <w:t>Näherer Prüfung bedarf die Beschwerdelegitimation der Beschwerdeführerin.</w:t>
      </w:r>
    </w:p>
    <w:p>
      <w:r>
        <w:rPr>
          <w:b/>
        </w:rPr>
        <w:t>E. 1.2.1</w:t>
      </w:r>
    </w:p>
    <w:p>
      <w:r>
        <w:t>Zur Beschwerde in Zivilsachen ist berechtigt, wer vor der Vorinstanz am Verfahren teilgenommen hat oder keine Möglichkeit zur Teilnahme erhalten hat, durch den angefochtenen Entscheid besonders berührt ist und ein schutzwürdiges Interesse an dessen Aufhebung hat ( Art. 76 Abs. 1 BGG ). Diese Regelung ist zwar in erster Linie auf Privatpersonen zugeschnitten, doch kann sich auch das Gemeinwesen darauf stützen, falls es von einem angefochtenen Entscheid gleich oder ähnlich wie ein Privater betroffen ist. Das ist hier aber nicht der Fall; die Beschwerdeführerin hat - wenn sie unterliegt - eine öffentliche Aufgabe zu erfüllen und ist durch die umstrittene Kostenauflage nicht wie eine Privatperson betroffen. Nach der vorab in öffentlichrechtlichen Angelegenheiten entwickelten Rechtsprechung kann das Gemeinwesen allerdings in bestimmten Fällen in seinen hoheitlichen Interessen derart berührt sein, dass von einem schutzwürdigen Interesse auszugehen ist. Das kann namentlich bei wichtigen vermögensrechtlichen Interessen der Fall sein. Bei Eingriffen in spezifische eigene Sachanliegen wird die Beschwerdebefugnis des Gemeinwesens bejaht, wenn es in qualifizierter Weise betroffen ist; dies ist dann anzunehmen, wenn ein Hoheitsakt wesentliche öffentliche Interessen in einem Politikbereich betrifft, der dem Gemeinwesen zur Regelung zugewiesen wurde. In jedem Fall aber setzt die Beschwerdebefugnis zur Durchsetzung hoheitlicher Anliegen eine erhebliche Betroffenheit in wichtigen öffentlichen Interessen voraus. Das allgemeine Interesse an der richtigen Rechtsanwendung verschafft dem Gemeinwesen noch keine Beschwerdebefugnis. Zur Begründung des allgemeinen Beschwerderechts genügt auch nicht jedes beliebige, mit der Erfüllung einer öffentlichen Aufgabe direkt oder indirekt verbundene finanzielle Interesse des Gemeinwesens (zum Ganzen: BGE 136 II 383 E. 2.4 S. 386 f. mit zahlreichen Hinweisen). Eine derartige spezifische und qualifizierte Betroffenheit macht die Beschwerdeführerin nicht geltend, noch ist eine solche ersichtlich. Die Beschwerdeführerin kann in der Sache selber keine Legitimation beanspruchen. Auf die Beschwerde ist daher insoweit nicht einzutreten.</w:t>
      </w:r>
    </w:p>
    <w:p>
      <w:r>
        <w:rPr>
          <w:b/>
        </w:rPr>
        <w:t>E. 1.2.2</w:t>
      </w:r>
    </w:p>
    <w:p>
      <w:r>
        <w:t>Jedenfalls unter dem Gesichtspunkt der Beschwerdelegitimation anders zu entscheiden wäre, wenn die Beschwerdeführerin sich auf die Verletzung der Gemeindeautonomie ( Art. 50 Abs. 1 BV ) berufen hätte (verbunden mit der Rüge, die kantonale Behörde habe ihre eigenen Kompetenzen überschritten, indem sie der Gemeinde ohne gesetzliche Grundlage Kosten auferlegte). Eine solche Rüge trägt die Beschwerdeführerin indes nicht vor.</w:t>
      </w:r>
    </w:p>
    <w:p>
      <w:r>
        <w:rPr>
          <w:b/>
        </w:rPr>
        <w:t>E. 2</w:t>
      </w:r>
    </w:p>
    <w:p>
      <w:r>
        <w:t>Nach dem Gesagten kann auf die Beschwerde nicht eingetreten werden. Bei diesem Ausgang trägt die Beschwerdeführerin die Gerichtskosten ( Art. 66 Abs. 1 BGG ); weil sie in ihrem Vermögensinteresse gehandelt hat, kann sie nicht von der Kostenfreiheit profitieren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