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783/2020 vom 31. März 2021</w:t>
      </w:r>
    </w:p>
    <w:p>
      <w:r>
        <w:t>Bundesgericht, 2021-03-31, FR</w:t>
      </w:r>
    </w:p>
    <w:p>
      <w:r>
        <w:rPr>
          <w:b/>
        </w:rPr>
        <w:t xml:space="preserve">Quelle: </w:t>
      </w:r>
      <w:r>
        <w:t>https://mcp.opencaselaw.ch/entscheid/bger_5A_783_2020</w:t>
      </w:r>
    </w:p>
    <w:p>
      <w:r>
        <w:t>FR: TF 5A 783/2020 du 31 mars 2021</w:t>
      </w:r>
    </w:p>
    <w:p>
      <w:r>
        <w:t>IT: TF 5A 783/2020 del 31 marzo 2021</w:t>
      </w:r>
    </w:p>
    <w:p>
      <w:pPr>
        <w:pStyle w:val="Heading2"/>
      </w:pPr>
      <w:r>
        <w:t>Regeste</w:t>
      </w:r>
    </w:p>
    <w:p>
      <w:r>
        <w:t>mesures protectrices de l'union conjugale | Droit de la famille</w:t>
      </w:r>
    </w:p>
    <w:p>
      <w:pPr>
        <w:pStyle w:val="Heading2"/>
      </w:pPr>
      <w:r>
        <w:t>Erwägungen</w:t>
      </w:r>
    </w:p>
    <w:p>
      <w:r>
        <w:rPr>
          <w:b/>
        </w:rPr>
        <w:t>E. 1</w:t>
      </w:r>
    </w:p>
    <w:p>
      <w:r>
        <w:t>L'arrêt entrepris, qui porte sur une décision de modification de mesures protectrices de l'union conjugale, est une décision finale ( art. 90 LTF ; ATF 133 III 393 consid. 4), rendue par une juridiction cantonale de dernière instance ayant statué sur recours ( art. 75 LTF ) dans une affaire matrimoniale ( art. 72 al. 1 LTF ). Le litige porte sur la contribution d'entretien, à savoir une affaire pécuniaire, dont la valeur litigieuse requise est atteinte (art. 51 al. 1 ch. 4, 51 al. 4 et 74 al. 1 let. b LTF). Le recourant a en outre qualité pour recourir ( art. 76 al. 1 LTF ) et a agi dans le délai légal ( art. 100 al. 1 LTF ). Le recours en matière civile est ainsi en principe recevable au regard des dispositions qui précèdent.</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 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145 IV 154 consid. 1.1; 141 IV 249 consid. 1.3.1; 140 III 264 consid. 2.3 et les références).</w:t>
      </w:r>
    </w:p>
    <w:p>
      <w:r>
        <w:rPr>
          <w:b/>
        </w:rPr>
        <w:t>E. 3</w:t>
      </w:r>
    </w:p>
    <w:p>
      <w:r>
        <w:t>Le recourant reproche tout d'abord à l'autorité cantonale d'avoir établi les faits de manière arbitraire ( art. 9 Cst. ) en tant qu'elle n'aurait pas mentionné que l'ordonnance de mesures protectrices de l'union conjugale du 16 mai 2019 indiquait que la charge de loyer de l'époux de 975 fr. était provisoire et que dès qu'elle augmenterait, la situation devrait être réactualisée et de nouveaux calculs effectués sur cette base. Il apparaît que le grief du recourant vise à faire admettre l'existence de faits nouveaux, à savoir une augmentation de son loyer. Or, comme on le verra ci-après, l'existence d'une telle augmentation, même susceptible de constituer un fait nouveau, ne saurait avoir d'incidence sur le sort de la cause (cf. infra consid. 4.4). Le grief doit ainsi être rejeté.</w:t>
      </w:r>
    </w:p>
    <w:p>
      <w:r>
        <w:rPr>
          <w:b/>
        </w:rPr>
        <w:t>E. 4</w:t>
      </w:r>
    </w:p>
    <w:p>
      <w:r>
        <w:t>Le recourant se plaint ensuite d'arbitraire ( art. 9 Cst. ) dans l'application de l' art. 179 CC .</w:t>
      </w:r>
    </w:p>
    <w:p>
      <w:r>
        <w:rPr>
          <w:b/>
        </w:rPr>
        <w:t>E. 4.1</w:t>
      </w:r>
    </w:p>
    <w:p>
      <w:r>
        <w:t>Il reproche en substance à l'autorité cantonale d'avoir rejeté l'existence de faits nouveaux et soutient que, dès lors que les revenus cumulés des époux dépasseraient largement les 200'000 fr. par année, il conviendrait de procéder à un nouveau calcul des pensions en application de la " méthode concrète ".</w:t>
      </w:r>
    </w:p>
    <w:p>
      <w:r>
        <w:rPr>
          <w:b/>
        </w:rPr>
        <w:t>E. 4.2</w:t>
      </w:r>
    </w:p>
    <w:p>
      <w:r>
        <w:t>Dans l'arrêt querellé, la juridiction précédente a retenu que si, depuis le 16 octobre 2019, la charge de loyer de l'époux était passée de 975 fr. à 2'650 fr. par mois, représentant une augmentation de 1'675 fr., ses revenus depuis le mois de septembre 2019 avaient quant à eux crû de 14'120 fr. à 20'094 fr. par mois, soit une augmentation de 5'940 fr. (sans prise en compte du bonus de bienvenue et d'un éventuel bonus annuel sur les résultats). C'était dès lors à juste titre que le premier juge avait constaté que, malgré l'augmentation de la charge de loyer de l'époux, le disponible de celui-ci était en réalité plus élevé désormais qu'il ne l'était au mois de mai 2019, au moment de la fixation des contributions d'entretien dues en faveur de l'épouse et de l'enfant. Selon l'autorité cantonale, le premier juge pouvait ainsi considérer que, dans la mesure où elles étaient largement compensées par l'augmentation de ses revenus, les charges nouvelles invoquées ne justifiaient pas qu'il soit procédé à un nouveau calcul des contributions d'entretien litigieuses, étant précisé qu'il n'y avait pas lieu d'envisager une augmentation de la pension due à l'enfant du fait de la hausse des revenus de l'époux, dès lors que la pension fixée dans l'ordonnance du 16 mai 2019 couvrait l'entretien convenable de celui-ci. Il n'apparaissait au demeurant pas que, depuis la fixation des contributions d'entretien le 16 mai 2019, la situation personnelle et financière de l'épouse se soit modifiée - celle-ci travaillant toujours à 60 % pour le compte du même employeur - ou que les coûts directs de l'enfant se soient modifiés, l'époux admettant au contraire que ceux-ci demeuraient inchangés. En définitive, la juridiction cantonale a retenu que c'était à raison que le premier juge avait estimé qu'aucun fait nouveau au sens de l' art. 179 al. 1 CC n'avait été rendu vraisemblable et qu'il avait refusé, pour ce motif, de réexaminer le montant des contributions d'entretien litigieuses. En l'absence de faits nouveaux, point n'était dès lors besoin de se prononcer sur les autres moyens soulevés par l'époux concernant la méthode à appliquer pour fixer les contributions d'entretien et les charges à prendre en considération dans ce cadre. De tels griefs n'avaient en effet pas leur place dans le cadre de la procédure de modification et ils devaient, le cas échéant, être invoqués à l'appui d'un appel contre l'ordonnance de mesures protectrices de l'union conjugale du 16 mai 2019.</w:t>
      </w:r>
    </w:p>
    <w:p>
      <w:r>
        <w:rPr>
          <w:b/>
        </w:rPr>
        <w:t>E. 4.3.1</w:t>
      </w:r>
    </w:p>
    <w:p>
      <w:r>
        <w:t>Aux termes de l' art. 179 al. 1 CC , à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 ATF 143 III 617 consid. 3.1; 141 III 376 consid. 3.3.1; arrêts 5A_800/2019 du 9 février 2021 consid. 3.1, destiné à la publication; 5A_154/2019 du 1er octobre 2019 consid. 4.1).</w:t>
      </w:r>
    </w:p>
    <w:p>
      <w:r>
        <w:rPr>
          <w:b/>
        </w:rPr>
        <w:t>E. 4.3.2</w:t>
      </w:r>
    </w:p>
    <w:p>
      <w:r>
        <w:t>A l'appui de leur requête en modification, les parties ne peuvent pas invoquer une mauvaise appréciation des circonstances initiales, que le motif relève du droit ou de l'établissement des faits allégués sur la base des preuves déjà offertes; pour faire valoir de tels motifs, seules les voies de recours sont ouvertes; la procédure de modification n'a ainsi pas pour but de corriger le premier jugement, mais de l'adapter aux circonstances nouvelles ( ATF 137 III 604 consid. 4.1.1 [à propos de l' art. 286 al. 2 CC ]; arrêts 5A_154/2019 précité consid. 4.1; 5A_501/2018 du 22 novembre 2018 consid. 2).</w:t>
      </w:r>
    </w:p>
    <w:p>
      <w:r>
        <w:rPr>
          <w:b/>
        </w:rPr>
        <w:t>E. 4.4</w:t>
      </w:r>
    </w:p>
    <w:p>
      <w:r>
        <w:t>En l'espèce, et à la lumière de la jurisprudence précitée (cf. supra consid. 4.3.1), il apparaît que la modification du loyer du recourant et celle de ses revenus sont en soi susceptibles de constituer des faits nouveaux pertinents. Cette constatation ne saurait toutefois avoir ici d'influence sur le sort du recours. En effet, dans sa motivation, le recourant fait valoir que la méthode du minimum vital avec répartition de l'excédent a été appliquée dans l'ordonnance du 16 mai 2019 et soutient qu'un nouveau calcul des contributions d'entretien devrait à présent être effectué selon la " méthode concrète ", dès lors que celle-ci s'appliquerait en présence d'une situation financière favorable, à savoir de revenus mensuels supérieurs à 13'000 fr. Dans le même temps, le recourant fait cependant également valoir que, durant la vie commune, les revenus cumulés des époux dépassaient largement les 200'000 fr. par année, sans compter les revenus issus des immeubles détenus en copropriété par les époux. Si l'on suit le recourant, les conditions pour une application de la " méthode concrète " étaient ainsi déjà remplies au moment où l'ordonnance du 16 mai 2019 a été rendue, dans la mesure où les époux réalisaient déjà des revenus mensuels supérieurs à 13'000 fr. Or, l'intéressé n'a pas contesté cette ordonnance, ce qu'il aurait dû faire s'il estimait que la méthode qui y était appliquée n'était pas correcte (cf. supra consid. 4.3.2). Il ne saurait à présent pallier ce manquement sous prétexte de faits nouveaux au demeurant guère susceptibles de conduire à une diminution des pensions versées, dès lors que son disponible mensuel a augmenté depuis l'ordonnance du 16 mai 2019 tandis que la situation de l'épouse et de l'enfant sont demeurées inchangées. Il s'ensuit que, à tout le moins sous l'angle du résultat, c'est sans arbitraire que l'autorité cantonale a renoncé à procéder à un nouveau calcul des contributions d'entretien arrêtées dans l'ordonnance du 16 mai 2019. Le grief doit ainsi être rejeté.</w:t>
      </w:r>
    </w:p>
    <w:p>
      <w:r>
        <w:rPr>
          <w:b/>
        </w:rPr>
        <w:t>E. 5</w:t>
      </w:r>
    </w:p>
    <w:p>
      <w:r>
        <w:t>En définitive, le recours est rejeté dans la mesure où il est recevable. Les frais judiciaires sont mis à la charge du recourant, qui succombe ( art. 66 al. 1 LTF ). Il n'est pas alloué de dépens à l'intimée, qui n'a pas été invitée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