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5A_782/2013 vom 9. Dezember 2013</w:t>
      </w:r>
    </w:p>
    <w:p>
      <w:r>
        <w:t>Bundesgericht, 2013-12-09, FR</w:t>
      </w:r>
    </w:p>
    <w:p>
      <w:r>
        <w:rPr>
          <w:b/>
        </w:rPr>
        <w:t xml:space="preserve">Quelle: </w:t>
      </w:r>
      <w:r>
        <w:t>https://mcp.opencaselaw.ch/entscheid/bger_5A_782_2013</w:t>
      </w:r>
    </w:p>
    <w:p>
      <w:r>
        <w:t>FR: TF 5A_782/2013 du 9 décembre 2013</w:t>
      </w:r>
    </w:p>
    <w:p>
      <w:r>
        <w:t>IT: TF 5A_782/2013 del 9 dicembre 2013</w:t>
      </w:r>
    </w:p>
    <w:p>
      <w:pPr>
        <w:pStyle w:val="Heading2"/>
      </w:pPr>
      <w:r>
        <w:t>Erwägungen</w:t>
      </w:r>
    </w:p>
    <w:p>
      <w:r>
        <w:rPr>
          <w:b/>
        </w:rPr>
        <w:t>E. 1.1</w:t>
      </w:r>
    </w:p>
    <w:p>
      <w:r>
        <w:t>L'arrêt entrepris, qui a pour objet la réglementation du droit de visite du parent non marié qui n'a pas la garde de l'enfant, est une décision prise en application de normes de droit public dans une matière connexe au droit civil (art. 72 al. 2 let. b ch. 7 LTF; arrêts 5A_763/2011 du 7 mars 2012 consid. 1; 5A_457/2009 du 9 décembre 2009 consid. 1.1). La question soumise au Tribunal fédéral est de nature non pécuniaire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al.1 et 2 LTF ). Le recours en matière civile est donc en principe recevable.</w:t>
      </w:r>
    </w:p>
    <w:p>
      <w:r>
        <w:rPr>
          <w:b/>
        </w:rPr>
        <w:t>E. 1.2</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(arrêts 5A_623/2011 du 20 février 2012 consid. 1.2, 5A_359/2011 du 7 septembre 2011 consid. 1.2.1). Exceptionnellement, des conclusions indéterminées et imprécises suffisent lorsque la motivation du recours ou la décision attaquée permet de comprendre d'emblée la modification requise ( ATF 134 III 235 consid. 2 p. 236 s.; arrêt précité 5A_359/2011 consid. 1.2.1</w:t>
      </w:r>
    </w:p>
    <w:p>
      <w:r>
        <w:t>in fine et les références).</w:t>
      </w:r>
    </w:p>
    <w:p>
      <w:r>
        <w:t>En l'espèce, la recourante se limite à prendre une seule conclusion cassatoire, sans même conclure au renvoi de la cause à une autorité inférieure. Or, l'annulation, sans réforme, de l'arrêt cantonal aurait pour effet que, dans ce cas, le droit de visite du père de l'enfant ne serait soumis à aucune réglementation ratifiée par une autorité, en contradiction avec la requête en fixation des modalités du droit aux relations personnelles du père introduite par la recourante elle-même le 29 novembre 2012. Toutefois, vu l'ensemble du dossier de la cause, notamment du rapprochement de ses conclusions d'appel et des présentes écritures, l'on comprend que le recours tend à ce que le droit de visite du père soit limité à une seule reprise de contact de quelques heures dans un endroit surveillé et que ce droit aux relations personnelles soit élargi uniquement ultérieurement sur nouvelle requête du père, en fonction de l'évolution de la situation. En dépit de l'absence de toute conclusion réformatoire sur le fond du litige, l'on comprend ce à quoi tend globalement le recours, mais sans que l'on ne parvienne à identifier une conclusion précise. La question de la recevabilité du présent recours au regard de l'exigence de la prise d'au moins une conclusion réformatoire précise est ainsi douteuse, mais peut cependant demeurer indécise, dès lors que le recours doit de toute manière être rejeté au fond (</w:t>
      </w:r>
    </w:p>
    <w:p>
      <w:r>
        <w:t>cf. infra consid. 4).</w:t>
      </w:r>
    </w:p>
    <w:p>
      <w:r>
        <w:rPr>
          <w:b/>
        </w:rPr>
        <w:t>E. 2.1</w:t>
      </w:r>
    </w:p>
    <w:p>
      <w:r>
        <w:t>Le recours en matière civile peut être interjeté pour violation du droit, tel qu'il est délimité par les art. 95 et 96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un grief a été soulevé et motivé à cet égard ( ATF 137 II 305 consid. 3.3 p. 310 s.; 133 II 249 consid. 1.4.2 p. 254); le recourant qui se plaint de la violation d'un tel droit doit ainsi indiquer précisément quelle disposition constitutionnelle a été violée et démontrer, par une argumentation précise, en quoi consiste la violation ("principe d'allégation"; art. 106 al. 2 LTF ; ATF 133 IV 286 consid. 1.4 p. 287; 133 II 249 consid. 1.4.2 p. 254).</w:t>
      </w:r>
    </w:p>
    <w:p>
      <w:r>
        <w:t>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w:t>
      </w:r>
    </w:p>
    <w:p>
      <w:r>
        <w:t>cf. supra consid. 2.1).</w:t>
      </w:r>
    </w:p>
    <w:p>
      <w:r>
        <w:rPr>
          <w:b/>
        </w:rPr>
        <w:t>E. 2.2</w:t>
      </w:r>
    </w:p>
    <w:p>
      <w:r>
        <w:t>Selon l' art. 99 al. 1 LTF , aucun fait nouveau ni preuve nouvelle ne peut être présenté à moins de résulter de la décision de l'autorité précédente. Il s'ensuit que le courrier électronique du 7 octobre 2013 de la logopédiste, produit par la recourante à l'appui du présent recours, est d'emblée irrecevable.</w:t>
      </w:r>
    </w:p>
    <w:p>
      <w:r>
        <w:rPr>
          <w:b/>
        </w:rPr>
        <w:t>E. 3</w:t>
      </w:r>
    </w:p>
    <w:p>
      <w:r>
        <w:t>Le présent recours a pour objet les modalités d'exercice du droit de visite du parent non gardien sur son fils né hors mariage.</w:t>
      </w:r>
    </w:p>
    <w:p>
      <w:r>
        <w:t>Statuant sur le recours de la mère, la Chambre de surveillance a relevé qu'il ne fallait pas négliger les appréhensions manifestées par celle-ci au sujet de la capacité du père à gérer les crises de l'enfant, mais relevé que la mère admettait, dans ses dernières écritures, que le père était apte à gérer les problèmes de santé de leur fils, d'une part, et qu'une reprise progressive du droit de visite de celui-là s'imposait, d'autre part. La cour cantonale a constaté que la progression des visites, telle qu'ordonnée par le premier juge était largement inspirée des modalités suggérées par le SPMi et qu'aucun élément invoqué par la mère ne conduisait à considérer que ces modalités seraient contraires à l'intérêt de l'enfant ou mettrait ce dernier en danger. L'autorité précédente a de surcroît relevé que l'exercice du droit de visite était soumis à une curatelle d'organisation et de surveillance, en sorte que les curatrices étaient immédiatement en mesure d'intervenir si l'exercice effectif du droit aux relations personnelles tel que défini dans l'ordonnance du 1</w:t>
      </w:r>
    </w:p>
    <w:p>
      <w:r>
        <w:t>er juillet 2013 devait poser problème.</w:t>
      </w:r>
    </w:p>
    <w:p>
      <w:r>
        <w:rPr>
          <w:b/>
        </w:rPr>
        <w:t>E. 4</w:t>
      </w:r>
    </w:p>
    <w:p>
      <w:r>
        <w:t>La recourante soutient que les juges cantonaux ont fait preuve d'arbitraire ( art. 9 Cst. ) dans l'établissement des faits et l'appréciation des preuves. La mère reproche à l'autorité précédente de n'avoir pas examiné les conditions concrètes dans lesquelles le père de l'enfant serait appelé à exercer le droit de visite et de ne pas non plus s'être interrogée sur la compatibilité du dispositif par rapport au père, dont on ne connaît pas le domicile effectif. Reconnaissant que les horaires du droit de visite sont usuels, la mère critique le caractère inapproprié ou préjudiciable de telles modalités dans le cas d'espèce, considérant que l'exercice du droit aux relations personnelles suppose de pouvoir accueillir son enfant chez soi, dans l'intérêt de l'équilibre de l'enfant, spécialement dans le cas de leur fils qui souffre " d'un trouble de la régulation important ", en sorte que ce dernier a besoin d'horaires réguliers, de moments de repos et de stabilité. En définitive, la recourante critique l'arrêt entrepris qui prévoit un droit de visite comme " pour n'importe quel enfant simplement perturbé ", dès lors que les juges cantonaux n'ont pas pris en considération la problématique de son enfant, le " mutisme " du père au sujet de son lieu de vie et de l'animosité forte et constante de celui-ci à son égard. Elle considère donc que la décision de la Chambre de surveillance qui laisse l'enfant avec son père dans ces conditions est arbitraire, l'enfant étant " lâché dans la nature", alors que l'appréciation de toutes les circonstances de fait devait conduire à une " solution proportionnée ".</w:t>
      </w:r>
    </w:p>
    <w:p>
      <w:r>
        <w:rPr>
          <w:b/>
        </w:rPr>
        <w:t>E. 4.1</w:t>
      </w:r>
    </w:p>
    <w:p>
      <w:r>
        <w:t>Dans le domaine de l'appréciation des preuves et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La partie recourante qui se plaint d'arbitraire dans l'appréciation des preuves et l'établissement des faits doit motiver son grief d'une manière correspondant à l'exigence de l' art. 106 al. 2 LTF ("principe d'allégation",</w:t>
      </w:r>
    </w:p>
    <w:p>
      <w:r>
        <w:t>cf. supra consid. 2; ATF 137 I 58 consid. 4.1.2 p. 62).</w:t>
      </w:r>
    </w:p>
    <w:p>
      <w:r>
        <w:t>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w:t>
      </w:r>
    </w:p>
    <w:p>
      <w:r>
        <w:t>in fine p. 86; arrêts 5A_507/2013 du 29 octobre 2013 consid. 2.1 et 5A_212/2013 du 5 septembre 2013 consid. 2.1).</w:t>
      </w:r>
    </w:p>
    <w:p>
      <w:r>
        <w:rPr>
          <w:b/>
        </w:rPr>
        <w:t>E. 4.2</w:t>
      </w:r>
    </w:p>
    <w:p>
      <w:r>
        <w:t>En l'occurrence, la recourante ne démontre pas que l'autorité cantonale aurait versé dans l'arbitraire en confirmant le droit de visite octroyé au père par le premier juge, les modalités de ce droit étant largement inspirées des conclusions de l'expertise du SPMi. La recourante ne démontre pas que certains éléments du cas d'espèce, en particulier la problématique spécifique liée à la santé de son enfant ou les incidences de sa mésentente avec le père de son fils, auraient été manifestement omis par les juges cantonaux dans leur raisonnement, ce qui n'est d'ailleurs pas le cas, l'autorité précédente ayant explicitement relevé dans son arrêt qu'il y avait lieu de ne pas négliger les appréhensions manifestées par la mère au sujet de la capacité du père à gérer les crises de l'enfant, mais que celle-ci avait toutefois admis que, désormais, le père était apte à gérer les problèmes de santé de leur fils (</w:t>
      </w:r>
    </w:p>
    <w:p>
      <w:r>
        <w:t>cf. supra consid. 3). La recourante se limite en outre, de manière générale, à présenter sa propre appréciation de la cause, en ignorant sciemment certains faits retenus dans l'arrêt attaqué - ainsi lorsqu'elle prétend que le domicile du père est inconnu et reproche le "mutisme" du père au sujet de son lieu de vie -, dès lors qu'il est établi que le père est domicilié à E.________.</w:t>
      </w:r>
    </w:p>
    <w:p>
      <w:r>
        <w:t>Au demeurant, la recourante ne saurait reprocher à l'autorité précédente de s'être largement inspirée du rapport du SPMi, dès lors qu'elle n'a émis aucune critique concernant l'expertise effectuée par ce service.</w:t>
      </w:r>
    </w:p>
    <w:p>
      <w:r>
        <w:t>A fortiori , elle ne saurait se plaindre de ce que la cour cantonale ait adapté les modalités du droit aux relations personnelles préconisé par le SPMi à l'évolution des circonstances, singulièrement au fait que l'enfant ne se trouve plus au Chalet Savigny, institution au sein de laquelle deux droits de visite de trois heures étaient proposés, dès lors qu'elle requiert précisément que l'évolution de la situation soit prise en considération et affirme elle-même dans son mémoire que ce droit de visite de deux fois trois heures " n'avait plus lieu d'être puisqu'il était lié au placement de l'enfant au Chalet Savigny " et que son fils a quitté cette institution le 19 mars 2013.</w:t>
      </w:r>
    </w:p>
    <w:p>
      <w:r>
        <w:t>Autant qu'il est suffisamment motivé (art. 106 al. 2 LF,</w:t>
      </w:r>
    </w:p>
    <w:p>
      <w:r>
        <w:t>cf. supra consid. 2 et 4.1), le grief d'appréciation arbitraire ( art. 9 Cst. ) des faits et preuves est par conséquent infondé.</w:t>
      </w:r>
    </w:p>
    <w:p>
      <w:r>
        <w:rPr>
          <w:b/>
        </w:rPr>
        <w:t>E. 5</w:t>
      </w:r>
    </w:p>
    <w:p>
      <w:r>
        <w:t>Vu ce qui précède, le recours doit être rejeté dans la mesure de sa recevabilité. La recourante, qui succombe, supportera les frais judiciaires arrêtés à 2'000 fr. ( art. 66 al. 1 LTF ). Il n'y a pas lieu d'allouer de dépens à l'intimé qui n'a pas été invité à déposer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