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781/2020 vom 2. Oktober 2020</w:t>
      </w:r>
    </w:p>
    <w:p>
      <w:r>
        <w:t>Bundesgericht, 2020-10-02, DE</w:t>
      </w:r>
    </w:p>
    <w:p>
      <w:r>
        <w:rPr>
          <w:b/>
        </w:rPr>
        <w:t xml:space="preserve">Quelle: </w:t>
      </w:r>
      <w:r>
        <w:t>https://mcp.opencaselaw.ch/entscheid/bger_5A_781_2020</w:t>
      </w:r>
    </w:p>
    <w:p>
      <w:r>
        <w:t>FR: TF 5A 781/2020 du 2 octobre 2020</w:t>
      </w:r>
    </w:p>
    <w:p>
      <w:r>
        <w:t>IT: TF 5A 781/2020 del 2 ottobre 2020</w:t>
      </w:r>
    </w:p>
    <w:p>
      <w:pPr>
        <w:pStyle w:val="Heading2"/>
      </w:pPr>
      <w:r>
        <w:t>Regeste</w:t>
      </w:r>
    </w:p>
    <w:p>
      <w:r>
        <w:t>Definitive Rechtsöffnung | Schuldbetreibungs- und Konkursrecht</w:t>
      </w:r>
    </w:p>
    <w:p>
      <w:pPr>
        <w:pStyle w:val="Heading2"/>
      </w:pPr>
      <w:r>
        <w:t>Erwägungen</w:t>
      </w:r>
    </w:p>
    <w:p>
      <w:r>
        <w:rPr>
          <w:b/>
        </w:rPr>
        <w:t>E. 1</w:t>
      </w:r>
    </w:p>
    <w:p>
      <w:r>
        <w:t>Mit Entscheid vom 30. September 2019 erteilte das Regionalgericht Imboden der Beschwerdegegnerin gegenüber dem Beschwerdeführer in der Betreibung Nr. yyy des Betreibungsamtes der Region Imboden die definitive Rechtsöffnung für Fr. 2'056.--, Fr. 8'100.--, Fr. 7'255.40 und Fr. 28'142.10, je nebst Zins. Dagegen erhob der Beschwerdeführer am 1. November 2019 (Poststempel) Beschwerde beim Kantonsgericht von Graubünden. Am 7. November 2019 (Poststempel) reichte er aufforderungsgemäss eine verbesserte Beschwerdeschrift ein. Am 25. November 2019 (Poststempel) gelangte er nochmals an das Kantonsgericht. Mit Entscheid vom 13. August 2020 trat das Kantonsgericht auf die Beschwerde mangels genügender Begründung nicht ein. Am 21. September 2020 (Postaufgabe) hat der Beschwerdeführer beim Bundesgericht Beschwerde gegen "Entscheidungen vom Kantonsgericht Graubünden vom 13. August 2020" erhoben. Das Bundesgericht hat vier Verfahren eröffnet (5A_781/2020, 5D_238/2020, 5D_239/2020, 5D_240/2020).</w:t>
      </w:r>
    </w:p>
    <w:p>
      <w:r>
        <w:rPr>
          <w:b/>
        </w:rPr>
        <w:t>E. 2</w:t>
      </w:r>
    </w:p>
    <w:p>
      <w:r>
        <w:t>Der Beschwerdeführer bezeichnet die angefochtenen Entscheide nicht genau. Einerseits nennt er als Referenzen "KSK 19 5-7" sowie KSK 19 2. Die Verfahren KSK 19 5, 6 und 7 betreffen ihn nicht. Vielmehr ficht er offensichtlich den Entscheid KSK 19 57 an, zumal er diesbezüglich eine zusätzliche, separate, auf den 9. September 2020 datierte und an das Kantonsgericht adressierte Beschwerdeschrift einreicht (dazu Verfahren 5D_238/2020). Gegen den ihn betreffenden Entscheid KSK 19 2 kann er nicht nochmals Beschwerde erheben (vgl. dazu bereits Urteil 5A_124/2019 vom 19. Februar 2019). Andererseits spricht der Beschwerdeführer von der Anfechtung der kantonsgerichtlichen Entscheidungen vom 13. August 2020. Es ist demnach davon auszugehen, dass er nebst dem genannten Entscheid KSK 19 57 auch die drei weiteren am 13. August 2020 gegen ihn ergangenen Rechtsöffnungsentscheide (KSK 19 96, 19 97 und 19 98) anfechten will, zumal sie alle im gleichen sachlichen Zusammenhang, nämlich der Miete eines Campingabstellplatzes durch den Beschwerdeführer im Neuenburger Jura stehen.</w:t>
      </w:r>
    </w:p>
    <w:p>
      <w:r>
        <w:rPr>
          <w:b/>
        </w:rPr>
        <w:t>E. 3</w:t>
      </w:r>
    </w:p>
    <w:p>
      <w:r>
        <w:t>Gegenstand des vorliegenden Verfahrens ist der kantonsgerichtliche Entscheid KSK 19 96. Diesbezüglich ist die Beschwerde in Zivilsachen grundsätzlich zulässig (Art. 72 Abs. 2 lit. a, Art. 74 Abs. 1 lit. b, Art. 75, Art. 76,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4</w:t>
      </w:r>
    </w:p>
    <w:p>
      <w:r>
        <w:t>Der Beschwerdeführer geht auf den angefochtenen Entscheid nicht ein. Stattdessen schildert er die Geschehnisse rund um die Campingplatzmiete aus seiner Sicht und er erhebt Vorwürfe gegen diverse Personen und den Kanton Neuenburg, den er nicht als Rechtsstaat anerkennt. Nicht Gegenstand des vorliegenden Verfahrens sind seine angeblich unerledigt gebliebenen Strafanzeigen.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