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5A_780/2025 vom 18. September 2025</w:t>
      </w:r>
    </w:p>
    <w:p>
      <w:r>
        <w:t>Bundesgericht, 2025-09-18, DE</w:t>
      </w:r>
    </w:p>
    <w:p>
      <w:r>
        <w:rPr>
          <w:b/>
        </w:rPr>
        <w:t xml:space="preserve">Quelle: </w:t>
      </w:r>
      <w:r>
        <w:t>https://mcp.opencaselaw.ch/entscheid/bger_5A_780_2025</w:t>
      </w:r>
    </w:p>
    <w:p>
      <w:r>
        <w:t>FR: TF 5A_780/2025 du 18 septembre 2025</w:t>
      </w:r>
    </w:p>
    <w:p>
      <w:r>
        <w:t>IT: TF 5A_780/2025 del 18 settembre 2025</w:t>
      </w:r>
    </w:p>
    <w:p>
      <w:pPr>
        <w:pStyle w:val="Heading2"/>
      </w:pPr>
      <w:r>
        <w:t>Erwägungen</w:t>
      </w:r>
    </w:p>
    <w:p>
      <w:r>
        <w:rPr>
          <w:b/>
        </w:rPr>
        <w:t>E. 1</w:t>
      </w:r>
    </w:p>
    <w:p>
      <w:r>
        <w:t>Im bundesgerichtlichen Verfahren sind Anträge auf Geldforderungen zu beziffern ( BGE 134 III 235 E. 2; 143 III 111 E. 1.2), jedenfalls soweit sich nicht aus der Begründung ohne weiteres ergibt, auf welchen Betrag der Rechtssuchende eine Geldleistung festgesetzt wissen will ( BGE 125 III 412 E. 1b). Ein konkretes Rechtsbegehren ist jedoch nicht auszumachen ( Art. 42 Abs. 1 BGG ), schon gar kein beziffertes. Bereits daran scheitert die Beschwerde. Sodann mangelt es aber auch an einer hinreichenden Begründung (dazu E. 2).</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t>Das Obergericht hat festgestellt und erwogen, dass die Beschwerdeführerin über kein berufliches Vorsorgeguthaben verfüge, dass sich der Bestand und die Entwicklung des Vorsorgeguthabens des Beschwerdegegners anhand der Unterlagen und Auskünfte widerspruchsfrei nachvollziehen lasse, wobei dies im angefochtenen Entscheid im Einzelnen dargestellt wird, und dass dieses hälftig zu teilen sei.</w:t>
      </w:r>
    </w:p>
    <w:p>
      <w:r>
        <w:t>Die Behauptungen der Beschwerdeführerin zur beruflichen Vorsorge sind nicht nachvollziehbar und ohnehin durchgängig appellatorisch. Damit hat es bei der für das Bundesgericht grundsätzlich verbindlichen Sachverhaltsfeststellung zu bleiben, dass die relevante Austrittsleistung Fr. 347'283.50 beträgt. Dass diese in rechtlicher Hinsicht hälftig zu teilen ist, scheint die Beschwerdeführerin im Übrigen nicht zu beanstanden.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