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5A_780/2008 vom 9. Februar 2009</w:t>
      </w:r>
    </w:p>
    <w:p>
      <w:r>
        <w:t>Bundesgericht, 2009-02-09, DE</w:t>
      </w:r>
    </w:p>
    <w:p>
      <w:r>
        <w:rPr>
          <w:b/>
        </w:rPr>
        <w:t xml:space="preserve">Quelle: </w:t>
      </w:r>
      <w:r>
        <w:t>https://mcp.opencaselaw.ch/entscheid/bger_5A_780_2008</w:t>
      </w:r>
    </w:p>
    <w:p>
      <w:r>
        <w:t>FR: TF 5A_780/2008 du 9 février 2009</w:t>
      </w:r>
    </w:p>
    <w:p>
      <w:r>
        <w:t>IT: TF 5A_780/2008 del 9 febbraio 2009</w:t>
      </w:r>
    </w:p>
    <w:p>
      <w:pPr>
        <w:pStyle w:val="Heading2"/>
      </w:pPr>
      <w:r>
        <w:t>Erwägungen</w:t>
      </w:r>
    </w:p>
    <w:p>
      <w:r>
        <w:rPr>
          <w:b/>
        </w:rPr>
        <w:t>E. 1.1</w:t>
      </w:r>
    </w:p>
    <w:p>
      <w:r>
        <w:t>Gegenstand des angefochtenen Beschwerdeentscheides ist die am 19. Juni 2008 auf den 24. Juni 2008 angekündigte, offenbar gleichentags vollzogene Nachpfändung einer Forderung ( Art. 115 Abs. 3 SchKG ). Die obere Aufsichtsbehörde hat vorliegend nicht über die vom Betreibungsamt am 13. Juni 2008, mithin vorsorglich erlassene Anzeige an den Drittschuldner ( Art. 99 SchKG ), sondern über die Pfändbarkeit des umstrittenen Guthabens entschieden und mit dem angefochtenen Entscheid die Forderungspfändung aufgehoben.</w:t>
      </w:r>
    </w:p>
    <w:p>
      <w:r>
        <w:rPr>
          <w:b/>
        </w:rPr>
        <w:t>E. 1.2</w:t>
      </w:r>
    </w:p>
    <w:p>
      <w:r>
        <w:t>Entscheide in Schuldbetreibungs- und Konkurssachen unterliegen der Beschwerde in Zivilsachen ( Art. 72 Abs. 2 lit. a BGG i.V.m. Art. 19 SchKG ). Angefochten ist der Entscheid einer letzten kantonalen Instanz ( Art. 75 Abs. 1 BGG ). Beschwerdeentscheide der kantonalen Aufsichtsbehörden über Verfügungen der Vollstreckungsorgane gemäss Art. 17 SchKG - wie hier die Nachpfändung - sind Endentscheide im Sinne von Art. 90 BGG ( BGE 133 III 350 E. 1.2 S. 351). Der Entscheid der kantonalen Aufsichtsbehörde ist unabhängig von einer gesetzlichen Streitwertgrenze anfechtbar ( Art. 74 Abs. 2 lit. c BGG ). Die fristgerecht erhobene Beschwerde in Zivilsachen ist grundsätzlich zulässig ( Art. 100 Abs. 2 lit. a BGG ).</w:t>
      </w:r>
    </w:p>
    <w:p>
      <w:r>
        <w:rPr>
          <w:b/>
        </w:rPr>
        <w:t>E. 1.3</w:t>
      </w:r>
    </w:p>
    <w:p>
      <w:r>
        <w:t>Die Beschwerdeführerin macht geltend, im Verfahren vor der Vorinstanz keine Möglichkeit zur Teilnahme erhalten zu haben, was von der oberen Aufsichtsbehörde in der Vernehmlassung bestätigt wird. Sie hat - als Betreibungsgläubigerin - ohne Weiteres ein rechtlich geschütztes Interesse an der Aufhebung des angefochtenen Entscheides (vgl. BGE 5A_158/2008 vom 9. Oktober 2008 E. 4), mit welchem die Forderungspfändung aufgehoben wurde. Die Beschwerdeberechtigung gemäss Art. 76 Abs. 1 BGG ist gegeben.</w:t>
      </w:r>
    </w:p>
    <w:p>
      <w:r>
        <w:rPr>
          <w:b/>
        </w:rPr>
        <w:t>E. 1.4</w:t>
      </w:r>
    </w:p>
    <w:p>
      <w:r>
        <w:t>Mit der Beschwerde in Zivilsachen kann unter anderem die Verletzung von Bundesrecht gerügt werden ( Art. 95 lit. a BGG ), zu dem laut der Begriffsbestimmung des BGG auch das Verfassungsrecht gehört.</w:t>
      </w:r>
    </w:p>
    <w:p>
      <w:r>
        <w:rPr>
          <w:b/>
        </w:rPr>
        <w:t>E. 2.1</w:t>
      </w:r>
    </w:p>
    <w:p>
      <w:r>
        <w:t>Die Beschwerdeführerin wirft der oberen Aufsichtsbehörde die Verletzung ihres rechtlichen Gehörs vor. Sie habe keine Kenntnis vom Beschwerdeverfahren gehabt; die Vorinstanz habe ihr keine Gelegenheit gegeben, sich zur Beschwerde des Beschwerdegegners zu äussern, sondern ihr einzig den in ihre Rechtsstellung eingreifenden Entscheid zugestellt.</w:t>
      </w:r>
    </w:p>
    <w:p>
      <w:r>
        <w:rPr>
          <w:b/>
        </w:rPr>
        <w:t>E. 2.2</w:t>
      </w:r>
    </w:p>
    <w:p>
      <w:r>
        <w:t>Gemäss Art. 29 Abs. 2 BV steht den Parteien das rechtliche Gehör zu. Dieser Anspruch ist formeller Natur, womit seine Verletzung ungeachtet der materiellen Begründetheit des Rechtsmittels zur Gutheissung der Beschwerde und zur Aufhebung des angefochtenen Entscheides führt ( BGE 125 I 113 E. 3 S. 118; 122 II 464 E. 4a S. 469). Das rechtliche Gehör dient einerseits der Klärung des Sachverhaltes, anderseits stellt es ein persönlichkeitsbezogenes Mitwirkungsrecht beim Erlass eines Entscheides dar, welcher in die Rechtsstellung des Einzelnen eingreift. Dazu gehört insbesondere das Recht des Betroffenen, sich vor Erlass eines ihn belastenden Entscheides zur Sache zu äussern und an der Erhebung wesentlicher Beweise mitzuwirken oder sich zumindest zum Beweisergebnis äussern zu können, wenn dieses geeignet ist, den Ausgang des Verfahrens zu beeinflussen ( BGE 127 I 54 E. 2b S. 56).</w:t>
      </w:r>
    </w:p>
    <w:p>
      <w:r>
        <w:rPr>
          <w:b/>
        </w:rPr>
        <w:t>E. 2.3</w:t>
      </w:r>
    </w:p>
    <w:p>
      <w:r>
        <w:t>Im vorliegenden Fall hat die obere Aufsichtsbehörde die von der Beschwerdeführerin anbegehrte Nachpfändung einer Forderung aufgehoben. Die Beschwerdeführerin ist durch die Aufhebung der Nachpfändung in ihrer Rechtsstellung als Gläubigerin unmittelbar betroffen. Sie hätte vor Erlass des Entscheides über die Aufhebung der Nachpfändung angehört werden müssen, da sich dieser für sie belastend auswirkt. Die obere Aufsichtsbehörde räumt in ihrer Vernehmlassung selber ein, dass der Beschwerdeführerin vor Erlass des Entscheides versehentlich keine Gelegenheit zur Stellungnahme geboten worden sei. Indem die obere Aufsichtsbehörde ihr keine Gelegenheit gegeben hatte, sich zum Verfahren und Entscheid zu äussern, ist das rechtliche Gehör der Beschwerdeführerin verletzt worden. Der angefochtene Entscheid ist somit aufzuheben, ohne dass die von der Beschwerdeführerin überdies geltend gemachten Rechtsverletzungen noch zu prüfen wären.</w:t>
      </w:r>
    </w:p>
    <w:p>
      <w:r>
        <w:rPr>
          <w:b/>
        </w:rPr>
        <w:t>E. 3</w:t>
      </w:r>
    </w:p>
    <w:p>
      <w:r>
        <w:t>Nach dem Dargelegten ist die Beschwerde gutzuheissen. Der angefochtene Entscheid ist aufzuheben und die Sache ist zu neuer Entscheidung im Sinne der vorangehenden Erwägungen zurückzuweisen. Bei diesem Verfahrensausgang wird der mit seinem Antrag unterliegende Beschwerdegegner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